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DC" w:rsidRPr="00950C34" w:rsidRDefault="00D849FB" w:rsidP="00D849FB">
      <w:pPr>
        <w:spacing w:after="0" w:line="240" w:lineRule="auto"/>
        <w:jc w:val="center"/>
        <w:rPr>
          <w:rFonts w:asciiTheme="majorBidi" w:hAnsiTheme="majorBidi" w:cstheme="majorBidi"/>
          <w:b/>
          <w:bCs/>
          <w:sz w:val="32"/>
          <w:szCs w:val="32"/>
        </w:rPr>
      </w:pPr>
      <w:r>
        <w:rPr>
          <w:rFonts w:asciiTheme="majorBidi" w:hAnsiTheme="majorBidi" w:cstheme="majorBidi"/>
          <w:b/>
          <w:sz w:val="32"/>
          <w:szCs w:val="32"/>
        </w:rPr>
        <w:t>I</w:t>
      </w:r>
      <w:r w:rsidR="00DC6D98" w:rsidRPr="00950C34">
        <w:rPr>
          <w:rFonts w:asciiTheme="majorBidi" w:hAnsiTheme="majorBidi" w:cstheme="majorBidi"/>
          <w:b/>
          <w:sz w:val="32"/>
          <w:szCs w:val="32"/>
        </w:rPr>
        <w:t xml:space="preserve">nformation and </w:t>
      </w:r>
      <w:r>
        <w:rPr>
          <w:rFonts w:asciiTheme="majorBidi" w:hAnsiTheme="majorBidi" w:cstheme="majorBidi"/>
          <w:b/>
          <w:sz w:val="32"/>
          <w:szCs w:val="32"/>
        </w:rPr>
        <w:t>T</w:t>
      </w:r>
      <w:r w:rsidR="00E92FB1" w:rsidRPr="00950C34">
        <w:rPr>
          <w:rFonts w:asciiTheme="majorBidi" w:hAnsiTheme="majorBidi" w:cstheme="majorBidi"/>
          <w:b/>
          <w:sz w:val="32"/>
          <w:szCs w:val="32"/>
        </w:rPr>
        <w:t>ele</w:t>
      </w:r>
      <w:r w:rsidR="00DC6D98" w:rsidRPr="00950C34">
        <w:rPr>
          <w:rFonts w:asciiTheme="majorBidi" w:hAnsiTheme="majorBidi" w:cstheme="majorBidi"/>
          <w:b/>
          <w:sz w:val="32"/>
          <w:szCs w:val="32"/>
        </w:rPr>
        <w:t xml:space="preserve">communications </w:t>
      </w:r>
      <w:r>
        <w:rPr>
          <w:rFonts w:asciiTheme="majorBidi" w:hAnsiTheme="majorBidi" w:cstheme="majorBidi"/>
          <w:b/>
          <w:sz w:val="32"/>
          <w:szCs w:val="32"/>
        </w:rPr>
        <w:t>T</w:t>
      </w:r>
      <w:r w:rsidR="00DC6D98" w:rsidRPr="00950C34">
        <w:rPr>
          <w:rFonts w:asciiTheme="majorBidi" w:hAnsiTheme="majorBidi" w:cstheme="majorBidi"/>
          <w:b/>
          <w:sz w:val="32"/>
          <w:szCs w:val="32"/>
        </w:rPr>
        <w:t>echnology</w:t>
      </w:r>
      <w:r w:rsidR="00441EE8" w:rsidRPr="00950C34">
        <w:rPr>
          <w:rFonts w:asciiTheme="majorBidi" w:hAnsiTheme="majorBidi" w:cstheme="majorBidi"/>
          <w:b/>
          <w:bCs/>
          <w:sz w:val="32"/>
          <w:szCs w:val="32"/>
        </w:rPr>
        <w:t xml:space="preserve"> and Economic Growth in Iran</w:t>
      </w:r>
      <w:r>
        <w:rPr>
          <w:rFonts w:asciiTheme="majorBidi" w:hAnsiTheme="majorBidi" w:cstheme="majorBidi"/>
          <w:b/>
          <w:bCs/>
          <w:sz w:val="32"/>
          <w:szCs w:val="32"/>
        </w:rPr>
        <w:t>: Causality Analysis</w:t>
      </w:r>
    </w:p>
    <w:p w:rsidR="001B72DC" w:rsidRPr="00950C34" w:rsidRDefault="001B72DC" w:rsidP="00F33BC8">
      <w:pPr>
        <w:spacing w:after="0" w:line="240" w:lineRule="auto"/>
        <w:ind w:left="900" w:right="720"/>
        <w:rPr>
          <w:rFonts w:asciiTheme="majorBidi" w:hAnsiTheme="majorBidi" w:cstheme="majorBidi"/>
          <w:sz w:val="24"/>
          <w:szCs w:val="24"/>
        </w:rPr>
      </w:pPr>
    </w:p>
    <w:p w:rsidR="00D849FB" w:rsidRDefault="00D849FB" w:rsidP="00F33BC8">
      <w:pPr>
        <w:spacing w:after="0" w:line="240" w:lineRule="auto"/>
        <w:outlineLvl w:val="0"/>
        <w:rPr>
          <w:rFonts w:asciiTheme="majorBidi" w:hAnsiTheme="majorBidi" w:cstheme="majorBidi"/>
          <w:i/>
          <w:iCs/>
        </w:rPr>
      </w:pPr>
    </w:p>
    <w:p w:rsidR="0068708E" w:rsidRDefault="0068708E" w:rsidP="00F33BC8">
      <w:pPr>
        <w:spacing w:after="0" w:line="240" w:lineRule="auto"/>
        <w:outlineLvl w:val="0"/>
        <w:rPr>
          <w:rFonts w:asciiTheme="majorBidi" w:hAnsiTheme="majorBidi" w:cstheme="majorBidi"/>
          <w:i/>
          <w:iCs/>
        </w:rPr>
      </w:pPr>
    </w:p>
    <w:p w:rsidR="0068708E" w:rsidRDefault="0068708E" w:rsidP="00F33BC8">
      <w:pPr>
        <w:spacing w:after="0" w:line="240" w:lineRule="auto"/>
        <w:outlineLvl w:val="0"/>
        <w:rPr>
          <w:rFonts w:asciiTheme="majorBidi" w:hAnsiTheme="majorBidi" w:cstheme="majorBidi"/>
          <w:i/>
          <w:iCs/>
        </w:rPr>
      </w:pPr>
    </w:p>
    <w:p w:rsidR="0068708E" w:rsidRDefault="0068708E" w:rsidP="00F33BC8">
      <w:pPr>
        <w:spacing w:after="0" w:line="240" w:lineRule="auto"/>
        <w:outlineLvl w:val="0"/>
        <w:rPr>
          <w:rFonts w:asciiTheme="majorBidi" w:hAnsiTheme="majorBidi" w:cstheme="majorBidi"/>
          <w:i/>
          <w:iCs/>
        </w:rPr>
      </w:pPr>
    </w:p>
    <w:p w:rsidR="00D849FB" w:rsidRDefault="00D849FB" w:rsidP="00F33BC8">
      <w:pPr>
        <w:spacing w:after="0" w:line="240" w:lineRule="auto"/>
        <w:outlineLvl w:val="0"/>
        <w:rPr>
          <w:rFonts w:asciiTheme="majorBidi" w:hAnsiTheme="majorBidi" w:cstheme="majorBidi"/>
          <w:i/>
          <w:iCs/>
        </w:rPr>
      </w:pPr>
    </w:p>
    <w:p w:rsidR="00D849FB" w:rsidRDefault="00D849FB" w:rsidP="00F33BC8">
      <w:pPr>
        <w:spacing w:after="0" w:line="240" w:lineRule="auto"/>
        <w:outlineLvl w:val="0"/>
        <w:rPr>
          <w:rFonts w:asciiTheme="majorBidi" w:hAnsiTheme="majorBidi" w:cstheme="majorBidi"/>
          <w:i/>
          <w:iCs/>
        </w:rPr>
      </w:pPr>
    </w:p>
    <w:p w:rsidR="00D849FB" w:rsidRDefault="00D849FB" w:rsidP="00F33BC8">
      <w:pPr>
        <w:spacing w:after="0" w:line="240" w:lineRule="auto"/>
        <w:outlineLvl w:val="0"/>
        <w:rPr>
          <w:rFonts w:asciiTheme="majorBidi" w:hAnsiTheme="majorBidi" w:cstheme="majorBidi"/>
          <w:i/>
          <w:iCs/>
        </w:rPr>
      </w:pPr>
    </w:p>
    <w:p w:rsidR="001B72DC" w:rsidRPr="00950C34" w:rsidRDefault="001B72DC" w:rsidP="00F33BC8">
      <w:pPr>
        <w:spacing w:after="0" w:line="240" w:lineRule="auto"/>
        <w:outlineLvl w:val="0"/>
        <w:rPr>
          <w:rFonts w:asciiTheme="majorBidi" w:hAnsiTheme="majorBidi" w:cstheme="majorBidi"/>
          <w:i/>
          <w:iCs/>
        </w:rPr>
      </w:pPr>
      <w:r w:rsidRPr="00950C34">
        <w:rPr>
          <w:rFonts w:asciiTheme="majorBidi" w:hAnsiTheme="majorBidi" w:cstheme="majorBidi"/>
          <w:i/>
          <w:iCs/>
        </w:rPr>
        <w:t>Abstract</w:t>
      </w:r>
    </w:p>
    <w:p w:rsidR="008D3765" w:rsidRDefault="00235201" w:rsidP="003D7A2F">
      <w:pPr>
        <w:spacing w:after="0" w:line="240" w:lineRule="auto"/>
        <w:rPr>
          <w:rFonts w:asciiTheme="majorBidi" w:hAnsiTheme="majorBidi" w:cstheme="majorBidi"/>
          <w:color w:val="FF0000"/>
        </w:rPr>
      </w:pPr>
      <w:r w:rsidRPr="00950C34">
        <w:rPr>
          <w:rFonts w:asciiTheme="majorBidi" w:hAnsiTheme="majorBidi" w:cstheme="majorBidi"/>
        </w:rPr>
        <w:t>Iran</w:t>
      </w:r>
      <w:r w:rsidR="00B47A77" w:rsidRPr="00950C34">
        <w:rPr>
          <w:rFonts w:asciiTheme="majorBidi" w:hAnsiTheme="majorBidi" w:cstheme="majorBidi"/>
        </w:rPr>
        <w:t xml:space="preserve"> as a developing country</w:t>
      </w:r>
      <w:r w:rsidRPr="00950C34">
        <w:rPr>
          <w:rFonts w:asciiTheme="majorBidi" w:hAnsiTheme="majorBidi" w:cstheme="majorBidi"/>
        </w:rPr>
        <w:t xml:space="preserve"> </w:t>
      </w:r>
      <w:r w:rsidR="00B47A77" w:rsidRPr="00950C34">
        <w:rPr>
          <w:rFonts w:asciiTheme="majorBidi" w:hAnsiTheme="majorBidi" w:cstheme="majorBidi"/>
        </w:rPr>
        <w:t xml:space="preserve">undertakes the policy measures to increase </w:t>
      </w:r>
      <w:r w:rsidR="00F94CF0" w:rsidRPr="00950C34">
        <w:rPr>
          <w:rFonts w:asciiTheme="majorBidi" w:hAnsiTheme="majorBidi" w:cstheme="majorBidi"/>
        </w:rPr>
        <w:t>the contribution</w:t>
      </w:r>
      <w:r w:rsidR="00B47A77" w:rsidRPr="00950C34">
        <w:rPr>
          <w:rFonts w:asciiTheme="majorBidi" w:hAnsiTheme="majorBidi" w:cstheme="majorBidi"/>
        </w:rPr>
        <w:t xml:space="preserve"> of telecom</w:t>
      </w:r>
      <w:r w:rsidR="00D849FB">
        <w:rPr>
          <w:rFonts w:asciiTheme="majorBidi" w:hAnsiTheme="majorBidi" w:cstheme="majorBidi"/>
        </w:rPr>
        <w:t>munication</w:t>
      </w:r>
      <w:r w:rsidR="00B47A77" w:rsidRPr="00950C34">
        <w:rPr>
          <w:rFonts w:asciiTheme="majorBidi" w:hAnsiTheme="majorBidi" w:cstheme="majorBidi"/>
        </w:rPr>
        <w:t xml:space="preserve"> in GDP.</w:t>
      </w:r>
      <w:r w:rsidRPr="00950C34">
        <w:rPr>
          <w:rFonts w:asciiTheme="majorBidi" w:hAnsiTheme="majorBidi" w:cstheme="majorBidi"/>
        </w:rPr>
        <w:t xml:space="preserve"> </w:t>
      </w:r>
      <w:r w:rsidR="00B47A77" w:rsidRPr="00950C34">
        <w:rPr>
          <w:rFonts w:asciiTheme="majorBidi" w:hAnsiTheme="majorBidi" w:cstheme="majorBidi"/>
        </w:rPr>
        <w:t>However, the</w:t>
      </w:r>
      <w:r w:rsidR="00E52CEA" w:rsidRPr="00950C34">
        <w:rPr>
          <w:rFonts w:asciiTheme="majorBidi" w:hAnsiTheme="majorBidi" w:cstheme="majorBidi"/>
        </w:rPr>
        <w:t xml:space="preserve">re is </w:t>
      </w:r>
      <w:r w:rsidR="00DA1C2C" w:rsidRPr="00950C34">
        <w:rPr>
          <w:rFonts w:asciiTheme="majorBidi" w:hAnsiTheme="majorBidi" w:cstheme="majorBidi"/>
        </w:rPr>
        <w:t>a little</w:t>
      </w:r>
      <w:r w:rsidR="00E52CEA" w:rsidRPr="00950C34">
        <w:rPr>
          <w:rFonts w:asciiTheme="majorBidi" w:hAnsiTheme="majorBidi" w:cstheme="majorBidi"/>
        </w:rPr>
        <w:t xml:space="preserve"> known about </w:t>
      </w:r>
      <w:r w:rsidR="00F94CF0" w:rsidRPr="00950C34">
        <w:rPr>
          <w:rFonts w:asciiTheme="majorBidi" w:hAnsiTheme="majorBidi" w:cstheme="majorBidi"/>
        </w:rPr>
        <w:t>the relationship</w:t>
      </w:r>
      <w:r w:rsidR="00E52CEA" w:rsidRPr="00950C34">
        <w:rPr>
          <w:rFonts w:asciiTheme="majorBidi" w:hAnsiTheme="majorBidi" w:cstheme="majorBidi"/>
        </w:rPr>
        <w:t xml:space="preserve"> between </w:t>
      </w:r>
      <w:r w:rsidR="00D849FB">
        <w:rPr>
          <w:rFonts w:asciiTheme="majorBidi" w:hAnsiTheme="majorBidi" w:cstheme="majorBidi"/>
        </w:rPr>
        <w:t>these two variables</w:t>
      </w:r>
      <w:r w:rsidR="008D78FF" w:rsidRPr="00950C34">
        <w:rPr>
          <w:rFonts w:asciiTheme="majorBidi" w:hAnsiTheme="majorBidi" w:cstheme="majorBidi"/>
        </w:rPr>
        <w:t xml:space="preserve"> in</w:t>
      </w:r>
      <w:r w:rsidR="00E52CEA" w:rsidRPr="00950C34">
        <w:rPr>
          <w:rFonts w:asciiTheme="majorBidi" w:hAnsiTheme="majorBidi" w:cstheme="majorBidi"/>
        </w:rPr>
        <w:t xml:space="preserve"> Iran</w:t>
      </w:r>
      <w:r w:rsidR="00B47A77" w:rsidRPr="00950C34">
        <w:rPr>
          <w:rFonts w:asciiTheme="majorBidi" w:hAnsiTheme="majorBidi" w:cstheme="majorBidi"/>
        </w:rPr>
        <w:t xml:space="preserve">. Therefore, </w:t>
      </w:r>
      <w:r w:rsidR="00D849FB" w:rsidRPr="00950C34">
        <w:rPr>
          <w:rFonts w:asciiTheme="majorBidi" w:hAnsiTheme="majorBidi" w:cstheme="majorBidi"/>
        </w:rPr>
        <w:t>this study investigates</w:t>
      </w:r>
      <w:r w:rsidR="00B47A77" w:rsidRPr="00950C34">
        <w:rPr>
          <w:rFonts w:asciiTheme="majorBidi" w:hAnsiTheme="majorBidi" w:cstheme="majorBidi"/>
        </w:rPr>
        <w:t xml:space="preserve"> the relationship between ICT development and </w:t>
      </w:r>
      <w:r w:rsidR="003D7A2F">
        <w:rPr>
          <w:rFonts w:asciiTheme="majorBidi" w:hAnsiTheme="majorBidi" w:cstheme="majorBidi"/>
        </w:rPr>
        <w:t xml:space="preserve">Iran </w:t>
      </w:r>
      <w:r w:rsidR="00B47A77" w:rsidRPr="00950C34">
        <w:rPr>
          <w:rFonts w:asciiTheme="majorBidi" w:hAnsiTheme="majorBidi" w:cstheme="majorBidi"/>
        </w:rPr>
        <w:t xml:space="preserve">economic growth </w:t>
      </w:r>
      <w:r w:rsidR="003D7A2F">
        <w:rPr>
          <w:rFonts w:asciiTheme="majorBidi" w:hAnsiTheme="majorBidi" w:cstheme="majorBidi"/>
        </w:rPr>
        <w:t xml:space="preserve">by </w:t>
      </w:r>
      <w:r w:rsidR="008D78FF" w:rsidRPr="00950C34">
        <w:rPr>
          <w:rFonts w:asciiTheme="majorBidi" w:hAnsiTheme="majorBidi" w:cstheme="majorBidi"/>
        </w:rPr>
        <w:t>using the</w:t>
      </w:r>
      <w:r w:rsidR="00B47A77" w:rsidRPr="00950C34">
        <w:rPr>
          <w:rFonts w:asciiTheme="majorBidi" w:hAnsiTheme="majorBidi" w:cstheme="majorBidi"/>
        </w:rPr>
        <w:t xml:space="preserve"> Vector Error Correction Model (VECM). </w:t>
      </w:r>
      <w:r w:rsidR="003A6435" w:rsidRPr="00D849FB">
        <w:rPr>
          <w:rFonts w:asciiTheme="majorBidi" w:hAnsiTheme="majorBidi" w:cstheme="majorBidi"/>
        </w:rPr>
        <w:t>The</w:t>
      </w:r>
      <w:r w:rsidR="00F70BDF" w:rsidRPr="00D849FB">
        <w:rPr>
          <w:rFonts w:asciiTheme="majorBidi" w:hAnsiTheme="majorBidi" w:cstheme="majorBidi"/>
        </w:rPr>
        <w:t xml:space="preserve"> results</w:t>
      </w:r>
      <w:r w:rsidR="00F70BDF" w:rsidRPr="00950C34">
        <w:rPr>
          <w:rFonts w:asciiTheme="majorBidi" w:hAnsiTheme="majorBidi" w:cstheme="majorBidi"/>
        </w:rPr>
        <w:t xml:space="preserve"> indicate that there is </w:t>
      </w:r>
      <w:r w:rsidR="003A6435" w:rsidRPr="00950C34">
        <w:rPr>
          <w:rFonts w:asciiTheme="majorBidi" w:hAnsiTheme="majorBidi" w:cstheme="majorBidi"/>
        </w:rPr>
        <w:t xml:space="preserve">a </w:t>
      </w:r>
      <w:r w:rsidR="00F70BDF" w:rsidRPr="00950C34">
        <w:rPr>
          <w:rFonts w:asciiTheme="majorBidi" w:hAnsiTheme="majorBidi" w:cstheme="majorBidi"/>
        </w:rPr>
        <w:t>unidirectional causality running from</w:t>
      </w:r>
      <w:r w:rsidR="00832303" w:rsidRPr="00950C34">
        <w:rPr>
          <w:rFonts w:asciiTheme="majorBidi" w:hAnsiTheme="majorBidi" w:cstheme="majorBidi"/>
        </w:rPr>
        <w:t xml:space="preserve"> </w:t>
      </w:r>
      <w:r w:rsidR="003A6435" w:rsidRPr="00950C34">
        <w:rPr>
          <w:rFonts w:asciiTheme="majorBidi" w:hAnsiTheme="majorBidi" w:cstheme="majorBidi"/>
        </w:rPr>
        <w:t xml:space="preserve">ICT development </w:t>
      </w:r>
      <w:r w:rsidR="00F70BDF" w:rsidRPr="00950C34">
        <w:rPr>
          <w:rFonts w:asciiTheme="majorBidi" w:hAnsiTheme="majorBidi" w:cstheme="majorBidi"/>
        </w:rPr>
        <w:t>to</w:t>
      </w:r>
      <w:r w:rsidR="003A6435" w:rsidRPr="00950C34">
        <w:rPr>
          <w:rFonts w:asciiTheme="majorBidi" w:hAnsiTheme="majorBidi" w:cstheme="majorBidi"/>
        </w:rPr>
        <w:t xml:space="preserve"> economic growth</w:t>
      </w:r>
      <w:r w:rsidR="00F70BDF" w:rsidRPr="00950C34">
        <w:rPr>
          <w:rFonts w:asciiTheme="majorBidi" w:hAnsiTheme="majorBidi" w:cstheme="majorBidi"/>
        </w:rPr>
        <w:t xml:space="preserve"> in the long run</w:t>
      </w:r>
      <w:r w:rsidR="003A6435" w:rsidRPr="00950C34">
        <w:rPr>
          <w:rFonts w:asciiTheme="majorBidi" w:hAnsiTheme="majorBidi" w:cstheme="majorBidi"/>
        </w:rPr>
        <w:t xml:space="preserve">, </w:t>
      </w:r>
      <w:r w:rsidR="00F70BDF" w:rsidRPr="00950C34">
        <w:rPr>
          <w:rFonts w:asciiTheme="majorBidi" w:hAnsiTheme="majorBidi" w:cstheme="majorBidi"/>
        </w:rPr>
        <w:t xml:space="preserve">while the reverse does not hold. The </w:t>
      </w:r>
      <w:r w:rsidR="00E52CEA" w:rsidRPr="00950C34">
        <w:rPr>
          <w:rFonts w:asciiTheme="majorBidi" w:hAnsiTheme="majorBidi" w:cstheme="majorBidi"/>
        </w:rPr>
        <w:t>findings</w:t>
      </w:r>
      <w:r w:rsidR="00F70BDF" w:rsidRPr="00950C34">
        <w:rPr>
          <w:rFonts w:asciiTheme="majorBidi" w:hAnsiTheme="majorBidi" w:cstheme="majorBidi"/>
        </w:rPr>
        <w:t xml:space="preserve"> also suggest no causality relationship between these variables in the short run</w:t>
      </w:r>
      <w:r w:rsidR="00F70BDF" w:rsidRPr="0068708E">
        <w:rPr>
          <w:rFonts w:asciiTheme="majorBidi" w:hAnsiTheme="majorBidi" w:cstheme="majorBidi"/>
        </w:rPr>
        <w:t>.</w:t>
      </w:r>
      <w:r w:rsidR="003A6435" w:rsidRPr="0068708E">
        <w:rPr>
          <w:rFonts w:asciiTheme="majorBidi" w:hAnsiTheme="majorBidi" w:cstheme="majorBidi"/>
        </w:rPr>
        <w:t xml:space="preserve"> </w:t>
      </w:r>
      <w:r w:rsidR="00A558A1" w:rsidRPr="0068708E">
        <w:rPr>
          <w:rFonts w:asciiTheme="majorBidi" w:hAnsiTheme="majorBidi" w:cstheme="majorBidi"/>
        </w:rPr>
        <w:t>In terms of policy</w:t>
      </w:r>
      <w:r w:rsidR="000C18C7" w:rsidRPr="0068708E">
        <w:rPr>
          <w:rFonts w:asciiTheme="majorBidi" w:hAnsiTheme="majorBidi" w:cstheme="majorBidi"/>
        </w:rPr>
        <w:t xml:space="preserve"> </w:t>
      </w:r>
      <w:r w:rsidR="00A558A1" w:rsidRPr="0068708E">
        <w:rPr>
          <w:rFonts w:asciiTheme="majorBidi" w:hAnsiTheme="majorBidi" w:cstheme="majorBidi"/>
        </w:rPr>
        <w:t>t</w:t>
      </w:r>
      <w:r w:rsidR="000C18C7" w:rsidRPr="0068708E">
        <w:rPr>
          <w:rFonts w:asciiTheme="majorBidi" w:hAnsiTheme="majorBidi" w:cstheme="majorBidi"/>
        </w:rPr>
        <w:t>he</w:t>
      </w:r>
      <w:r w:rsidR="008D3765" w:rsidRPr="0068708E">
        <w:rPr>
          <w:rFonts w:asciiTheme="majorBidi" w:hAnsiTheme="majorBidi" w:cstheme="majorBidi"/>
        </w:rPr>
        <w:t xml:space="preserve"> more</w:t>
      </w:r>
      <w:r w:rsidR="008D3765" w:rsidRPr="00950C34">
        <w:rPr>
          <w:rFonts w:asciiTheme="majorBidi" w:hAnsiTheme="majorBidi" w:cstheme="majorBidi"/>
        </w:rPr>
        <w:t xml:space="preserve"> resources should be allocated to ICT-industry sector</w:t>
      </w:r>
      <w:r w:rsidR="001F6C17">
        <w:rPr>
          <w:rFonts w:asciiTheme="majorBidi" w:hAnsiTheme="majorBidi" w:cstheme="majorBidi"/>
        </w:rPr>
        <w:t xml:space="preserve"> </w:t>
      </w:r>
      <w:r w:rsidR="008D3765">
        <w:rPr>
          <w:rFonts w:asciiTheme="majorBidi" w:hAnsiTheme="majorBidi" w:cstheme="majorBidi"/>
        </w:rPr>
        <w:t xml:space="preserve">and promoting ICT using likely can solve the reverse causality </w:t>
      </w:r>
      <w:r w:rsidR="001F6C17">
        <w:rPr>
          <w:rFonts w:asciiTheme="majorBidi" w:hAnsiTheme="majorBidi" w:cstheme="majorBidi"/>
        </w:rPr>
        <w:t>under</w:t>
      </w:r>
      <w:r w:rsidR="008D3765" w:rsidRPr="00950C34">
        <w:rPr>
          <w:rFonts w:asciiTheme="majorBidi" w:hAnsiTheme="majorBidi" w:cstheme="majorBidi"/>
        </w:rPr>
        <w:t xml:space="preserve"> condition of Iran economy</w:t>
      </w:r>
      <w:r w:rsidR="0084372C">
        <w:rPr>
          <w:rFonts w:asciiTheme="majorBidi" w:hAnsiTheme="majorBidi" w:cstheme="majorBidi"/>
        </w:rPr>
        <w:t>.</w:t>
      </w:r>
    </w:p>
    <w:p w:rsidR="002B305E" w:rsidRPr="00950C34" w:rsidRDefault="000C18C7" w:rsidP="0084372C">
      <w:pPr>
        <w:spacing w:after="0" w:line="240" w:lineRule="auto"/>
        <w:rPr>
          <w:rFonts w:asciiTheme="majorBidi" w:hAnsiTheme="majorBidi" w:cstheme="majorBidi"/>
          <w:color w:val="FF0000"/>
        </w:rPr>
      </w:pPr>
      <w:r w:rsidRPr="00950C34">
        <w:rPr>
          <w:rFonts w:asciiTheme="majorBidi" w:hAnsiTheme="majorBidi" w:cstheme="majorBidi"/>
          <w:color w:val="FF0000"/>
        </w:rPr>
        <w:t xml:space="preserve"> </w:t>
      </w:r>
    </w:p>
    <w:p w:rsidR="001B72DC" w:rsidRPr="00950C34" w:rsidRDefault="001B72DC" w:rsidP="0084372C">
      <w:pPr>
        <w:spacing w:after="0" w:line="240" w:lineRule="auto"/>
        <w:ind w:right="720"/>
        <w:rPr>
          <w:rFonts w:asciiTheme="majorBidi" w:hAnsiTheme="majorBidi" w:cstheme="majorBidi"/>
        </w:rPr>
      </w:pPr>
      <w:r w:rsidRPr="00950C34">
        <w:rPr>
          <w:rFonts w:asciiTheme="majorBidi" w:hAnsiTheme="majorBidi" w:cstheme="majorBidi"/>
          <w:i/>
          <w:iCs/>
        </w:rPr>
        <w:t>Keywords</w:t>
      </w:r>
      <w:r w:rsidRPr="00950C34">
        <w:rPr>
          <w:rFonts w:asciiTheme="majorBidi" w:hAnsiTheme="majorBidi" w:cstheme="majorBidi"/>
          <w:b/>
          <w:bCs/>
        </w:rPr>
        <w:t xml:space="preserve">: </w:t>
      </w:r>
      <w:r w:rsidR="000E5A85" w:rsidRPr="00950C34">
        <w:rPr>
          <w:rFonts w:asciiTheme="majorBidi" w:hAnsiTheme="majorBidi" w:cstheme="majorBidi"/>
        </w:rPr>
        <w:t>ICT</w:t>
      </w:r>
      <w:r w:rsidR="0084372C">
        <w:rPr>
          <w:rFonts w:asciiTheme="majorBidi" w:hAnsiTheme="majorBidi" w:cstheme="majorBidi"/>
        </w:rPr>
        <w:t xml:space="preserve">-lead </w:t>
      </w:r>
      <w:r w:rsidRPr="00950C34">
        <w:rPr>
          <w:rFonts w:asciiTheme="majorBidi" w:hAnsiTheme="majorBidi" w:cstheme="majorBidi"/>
        </w:rPr>
        <w:t>growth</w:t>
      </w:r>
      <w:r w:rsidR="000E5A85" w:rsidRPr="00950C34">
        <w:rPr>
          <w:rFonts w:asciiTheme="majorBidi" w:hAnsiTheme="majorBidi" w:cstheme="majorBidi"/>
        </w:rPr>
        <w:t>,</w:t>
      </w:r>
      <w:r w:rsidRPr="00950C34">
        <w:rPr>
          <w:rFonts w:asciiTheme="majorBidi" w:hAnsiTheme="majorBidi" w:cstheme="majorBidi"/>
        </w:rPr>
        <w:t xml:space="preserve"> </w:t>
      </w:r>
      <w:r w:rsidR="00966420" w:rsidRPr="00950C34">
        <w:rPr>
          <w:rFonts w:asciiTheme="majorBidi" w:hAnsiTheme="majorBidi" w:cstheme="majorBidi"/>
        </w:rPr>
        <w:t>causal</w:t>
      </w:r>
      <w:r w:rsidR="0084372C">
        <w:rPr>
          <w:rFonts w:asciiTheme="majorBidi" w:hAnsiTheme="majorBidi" w:cstheme="majorBidi"/>
        </w:rPr>
        <w:t xml:space="preserve"> relationship</w:t>
      </w:r>
      <w:r w:rsidRPr="00950C34">
        <w:rPr>
          <w:rFonts w:asciiTheme="majorBidi" w:hAnsiTheme="majorBidi" w:cstheme="majorBidi"/>
        </w:rPr>
        <w:t>, Iran</w:t>
      </w:r>
      <w:r w:rsidR="0084372C">
        <w:rPr>
          <w:rFonts w:asciiTheme="majorBidi" w:hAnsiTheme="majorBidi" w:cstheme="majorBidi"/>
        </w:rPr>
        <w:t>’s ICT</w:t>
      </w:r>
      <w:r w:rsidR="004A4332" w:rsidRPr="00950C34">
        <w:rPr>
          <w:rFonts w:asciiTheme="majorBidi" w:hAnsiTheme="majorBidi" w:cstheme="majorBidi"/>
        </w:rPr>
        <w:t>.</w:t>
      </w:r>
    </w:p>
    <w:p w:rsidR="008C4824" w:rsidRPr="00950C34" w:rsidRDefault="0069757C" w:rsidP="00F33BC8">
      <w:pPr>
        <w:spacing w:after="0" w:line="240" w:lineRule="auto"/>
        <w:ind w:right="720"/>
        <w:outlineLvl w:val="0"/>
        <w:rPr>
          <w:rFonts w:asciiTheme="majorBidi" w:hAnsiTheme="majorBidi" w:cstheme="majorBidi"/>
          <w:b/>
          <w:bCs/>
        </w:rPr>
      </w:pPr>
      <w:r w:rsidRPr="00950C34">
        <w:rPr>
          <w:rFonts w:asciiTheme="majorBidi" w:hAnsiTheme="majorBidi" w:cstheme="majorBidi"/>
          <w:i/>
          <w:iCs/>
        </w:rPr>
        <w:t>JEL Classification</w:t>
      </w:r>
      <w:r w:rsidRPr="00950C34">
        <w:rPr>
          <w:rFonts w:asciiTheme="majorBidi" w:hAnsiTheme="majorBidi" w:cstheme="majorBidi"/>
          <w:b/>
          <w:bCs/>
        </w:rPr>
        <w:t>:</w:t>
      </w:r>
      <w:r w:rsidR="00D01127" w:rsidRPr="00950C34">
        <w:rPr>
          <w:rFonts w:asciiTheme="majorBidi" w:hAnsiTheme="majorBidi" w:cstheme="majorBidi"/>
          <w:b/>
          <w:bCs/>
        </w:rPr>
        <w:t xml:space="preserve"> </w:t>
      </w:r>
    </w:p>
    <w:p w:rsidR="0069757C" w:rsidRPr="00950C34" w:rsidRDefault="0069757C" w:rsidP="00F33BC8">
      <w:pPr>
        <w:spacing w:after="0" w:line="240" w:lineRule="auto"/>
        <w:ind w:right="720"/>
        <w:rPr>
          <w:rFonts w:asciiTheme="majorBidi" w:hAnsiTheme="majorBidi" w:cstheme="majorBidi"/>
          <w:b/>
          <w:bCs/>
        </w:rPr>
      </w:pPr>
    </w:p>
    <w:p w:rsidR="00F94CF0" w:rsidRPr="00950C34" w:rsidRDefault="00F94CF0" w:rsidP="00F33BC8">
      <w:pPr>
        <w:spacing w:after="0" w:line="240" w:lineRule="auto"/>
        <w:ind w:right="720"/>
        <w:rPr>
          <w:rFonts w:asciiTheme="majorBidi" w:hAnsiTheme="majorBidi" w:cstheme="majorBidi"/>
          <w:b/>
          <w:bCs/>
        </w:rPr>
      </w:pPr>
    </w:p>
    <w:p w:rsidR="002B34C7" w:rsidRPr="00950C34" w:rsidRDefault="009C3748" w:rsidP="00F33BC8">
      <w:pPr>
        <w:pStyle w:val="ListParagraph"/>
        <w:numPr>
          <w:ilvl w:val="0"/>
          <w:numId w:val="1"/>
        </w:numPr>
        <w:spacing w:after="0" w:line="240" w:lineRule="auto"/>
        <w:ind w:left="0" w:firstLine="0"/>
        <w:rPr>
          <w:rFonts w:asciiTheme="majorBidi" w:hAnsiTheme="majorBidi" w:cstheme="majorBidi"/>
          <w:b/>
          <w:bCs/>
          <w:sz w:val="28"/>
          <w:szCs w:val="28"/>
        </w:rPr>
      </w:pPr>
      <w:r w:rsidRPr="00950C34">
        <w:rPr>
          <w:rFonts w:asciiTheme="majorBidi" w:hAnsiTheme="majorBidi" w:cstheme="majorBidi"/>
          <w:b/>
          <w:bCs/>
          <w:sz w:val="28"/>
          <w:szCs w:val="28"/>
        </w:rPr>
        <w:t>INTRIDUCTION</w:t>
      </w:r>
    </w:p>
    <w:p w:rsidR="00486FBC" w:rsidRPr="00950C34" w:rsidRDefault="00486FBC" w:rsidP="00F33BC8">
      <w:pPr>
        <w:spacing w:after="0" w:line="240" w:lineRule="auto"/>
        <w:rPr>
          <w:rFonts w:asciiTheme="majorBidi" w:hAnsiTheme="majorBidi" w:cstheme="majorBidi"/>
        </w:rPr>
      </w:pPr>
      <w:r w:rsidRPr="00950C34">
        <w:rPr>
          <w:rFonts w:asciiTheme="majorBidi" w:hAnsiTheme="majorBidi" w:cstheme="majorBidi"/>
        </w:rPr>
        <w:t xml:space="preserve">Over the past decade, most developing countries look for ways to increase their ICT infrastructures capacity due to encourage the rate of economic growth and to narrow the gap of economic activity with the developed countries. As argued by Lee, Gholami &amp; Tong (2005) a developing country may has huge investment on ICT infrastructure due to this idea that jumping onto the ICT bandwagon move with great speed to economic boosting. However, far too little attention in these country has been paid to examine whether this ICT investment contribute to the prosperity. Although, studies in the context of developed economies imply the strong role of ICT investment on economic growth besides the existing causal relationship in one or both directions, given conditions in developing economies is different. Therefore, it is desirable for any developing country by focusing on ICT development strategy to carry out a careful empirical analysis on causal relationship between ICT development and economic growth. </w:t>
      </w:r>
    </w:p>
    <w:p w:rsidR="00486FBC" w:rsidRPr="00950C34" w:rsidRDefault="00486FBC" w:rsidP="00F33BC8">
      <w:pPr>
        <w:spacing w:after="0" w:line="240" w:lineRule="auto"/>
        <w:rPr>
          <w:rFonts w:asciiTheme="majorBidi" w:hAnsiTheme="majorBidi" w:cstheme="majorBidi"/>
        </w:rPr>
      </w:pPr>
      <w:r w:rsidRPr="00950C34">
        <w:rPr>
          <w:rFonts w:asciiTheme="majorBidi" w:hAnsiTheme="majorBidi" w:cstheme="majorBidi"/>
        </w:rPr>
        <w:t>Since 1995, Iran witnessed an increase in telecommunication infrastructure capacity and development of information technology due to enjoy the benefit of ICT contribution. But, does ICT development leads to economic boosting? Or opposite direction holds? It is important to examine the relationship and the direction of link between these two variables in condition of Iran economy. Although, a few studies in Iran at firm level show the contribution of ICT on productivity (Gholami, Moshiri, &amp; Lee, 2004 and Moshiri &amp; Jahangard, 2007), contribution of ICT to economic growth emerges once there is a causal relationship between them in the whole economy. Considering the significant expansion of Iran’s telecommunications sector in recent years, there has been a lack of empirical studies on its causal relationship with economic growth and this is the gap this study aims to fill it.</w:t>
      </w:r>
    </w:p>
    <w:p w:rsidR="00486FBC" w:rsidRPr="00950C34" w:rsidRDefault="00486FBC" w:rsidP="00F33BC8">
      <w:pPr>
        <w:spacing w:after="0" w:line="240" w:lineRule="auto"/>
        <w:rPr>
          <w:rFonts w:asciiTheme="majorBidi" w:hAnsiTheme="majorBidi" w:cstheme="majorBidi"/>
        </w:rPr>
      </w:pPr>
      <w:r w:rsidRPr="00950C34">
        <w:rPr>
          <w:rFonts w:asciiTheme="majorBidi" w:hAnsiTheme="majorBidi" w:cstheme="majorBidi"/>
        </w:rPr>
        <w:t xml:space="preserve">The primary purpose of this study is to examine empirically the relationship and causality between telecommunication infrastructure developments and gross domestic production (GDP) growth in Iran. To do so, </w:t>
      </w:r>
      <w:r w:rsidR="00AF728E" w:rsidRPr="00950C34">
        <w:rPr>
          <w:rFonts w:asciiTheme="majorBidi" w:hAnsiTheme="majorBidi" w:cstheme="majorBidi"/>
        </w:rPr>
        <w:t>t</w:t>
      </w:r>
      <w:r w:rsidRPr="00950C34">
        <w:rPr>
          <w:rFonts w:asciiTheme="majorBidi" w:hAnsiTheme="majorBidi" w:cstheme="majorBidi"/>
        </w:rPr>
        <w:t xml:space="preserve">he Granger causality test with time series analysis tools enables us to determine the direction of causality and there is a feedback effect between them. Moreover, we can find out whether the relationship between variables is long or short-run. The incentive for this study is </w:t>
      </w:r>
      <w:r w:rsidR="008F6C7E" w:rsidRPr="00950C34">
        <w:rPr>
          <w:rFonts w:asciiTheme="majorBidi" w:hAnsiTheme="majorBidi" w:cstheme="majorBidi"/>
        </w:rPr>
        <w:t>arose from</w:t>
      </w:r>
      <w:r w:rsidRPr="00950C34">
        <w:rPr>
          <w:rFonts w:asciiTheme="majorBidi" w:hAnsiTheme="majorBidi" w:cstheme="majorBidi"/>
        </w:rPr>
        <w:t xml:space="preserve"> the fact that </w:t>
      </w:r>
      <w:r w:rsidR="008F6C7E" w:rsidRPr="00950C34">
        <w:rPr>
          <w:rFonts w:asciiTheme="majorBidi" w:hAnsiTheme="majorBidi" w:cstheme="majorBidi"/>
        </w:rPr>
        <w:t xml:space="preserve">the </w:t>
      </w:r>
      <w:r w:rsidR="008F6C7E" w:rsidRPr="00950C34">
        <w:rPr>
          <w:rFonts w:asciiTheme="majorBidi" w:hAnsiTheme="majorBidi" w:cstheme="majorBidi"/>
        </w:rPr>
        <w:lastRenderedPageBreak/>
        <w:t xml:space="preserve">resources should be allocated to </w:t>
      </w:r>
      <w:r w:rsidRPr="00950C34">
        <w:rPr>
          <w:rFonts w:asciiTheme="majorBidi" w:hAnsiTheme="majorBidi" w:cstheme="majorBidi"/>
        </w:rPr>
        <w:t xml:space="preserve">ICT sector to increase GDP growth or </w:t>
      </w:r>
      <w:r w:rsidR="008F6C7E" w:rsidRPr="00950C34">
        <w:rPr>
          <w:rFonts w:asciiTheme="majorBidi" w:hAnsiTheme="majorBidi" w:cstheme="majorBidi"/>
        </w:rPr>
        <w:t xml:space="preserve">should be allocated to other most important industries for boosting national economy </w:t>
      </w:r>
      <w:r w:rsidRPr="00950C34">
        <w:rPr>
          <w:rFonts w:asciiTheme="majorBidi" w:hAnsiTheme="majorBidi" w:cstheme="majorBidi"/>
        </w:rPr>
        <w:t xml:space="preserve">which in turn will generate </w:t>
      </w:r>
      <w:r w:rsidR="008F6C7E" w:rsidRPr="00950C34">
        <w:rPr>
          <w:rFonts w:asciiTheme="majorBidi" w:hAnsiTheme="majorBidi" w:cstheme="majorBidi"/>
        </w:rPr>
        <w:t>advanced</w:t>
      </w:r>
      <w:r w:rsidRPr="00950C34">
        <w:rPr>
          <w:rFonts w:asciiTheme="majorBidi" w:hAnsiTheme="majorBidi" w:cstheme="majorBidi"/>
        </w:rPr>
        <w:t xml:space="preserve"> ICT levels. </w:t>
      </w:r>
    </w:p>
    <w:p w:rsidR="00486FBC" w:rsidRDefault="00486FBC" w:rsidP="00F33BC8">
      <w:pPr>
        <w:spacing w:after="0" w:line="240" w:lineRule="auto"/>
        <w:rPr>
          <w:rFonts w:asciiTheme="majorBidi" w:hAnsiTheme="majorBidi" w:cstheme="majorBidi"/>
        </w:rPr>
      </w:pPr>
      <w:r w:rsidRPr="00950C34">
        <w:rPr>
          <w:rFonts w:asciiTheme="majorBidi" w:hAnsiTheme="majorBidi" w:cstheme="majorBidi"/>
        </w:rPr>
        <w:t>The rest of the paper is organized as follows: next section reviews the empirical works on ICT pay off in economies boosting and causality direction between them. Section 3 gives an overview of telecommunication infrastructure in Iran. Section 4 of the paper discusses the econometric methodology used as well as collected data. Section 5 presents the empirical results, and section 6 deals with the conclusion.</w:t>
      </w:r>
    </w:p>
    <w:p w:rsidR="00CE4963" w:rsidRDefault="00CE4963" w:rsidP="00F33BC8">
      <w:pPr>
        <w:spacing w:after="0" w:line="240" w:lineRule="auto"/>
        <w:rPr>
          <w:rFonts w:asciiTheme="majorBidi" w:hAnsiTheme="majorBidi" w:cstheme="majorBidi"/>
        </w:rPr>
      </w:pPr>
    </w:p>
    <w:p w:rsidR="00F94CF0" w:rsidRPr="00950C34" w:rsidRDefault="00F94CF0" w:rsidP="00F33BC8">
      <w:pPr>
        <w:spacing w:after="0" w:line="240" w:lineRule="auto"/>
        <w:rPr>
          <w:rFonts w:asciiTheme="majorBidi" w:hAnsiTheme="majorBidi" w:cstheme="majorBidi"/>
        </w:rPr>
      </w:pPr>
    </w:p>
    <w:p w:rsidR="00486FBC" w:rsidRPr="00950C34" w:rsidRDefault="009C3748" w:rsidP="00F33BC8">
      <w:pPr>
        <w:pStyle w:val="ListParagraph"/>
        <w:numPr>
          <w:ilvl w:val="0"/>
          <w:numId w:val="1"/>
        </w:numPr>
        <w:spacing w:after="0" w:line="240" w:lineRule="auto"/>
        <w:ind w:left="0" w:firstLine="0"/>
        <w:rPr>
          <w:rFonts w:asciiTheme="majorBidi" w:hAnsiTheme="majorBidi" w:cstheme="majorBidi"/>
          <w:b/>
          <w:bCs/>
          <w:sz w:val="28"/>
          <w:szCs w:val="28"/>
        </w:rPr>
      </w:pPr>
      <w:r w:rsidRPr="00950C34">
        <w:rPr>
          <w:rFonts w:asciiTheme="majorBidi" w:hAnsiTheme="majorBidi" w:cstheme="majorBidi"/>
          <w:b/>
          <w:bCs/>
          <w:sz w:val="28"/>
          <w:szCs w:val="28"/>
        </w:rPr>
        <w:t>LITERATURE REVIEW</w:t>
      </w:r>
    </w:p>
    <w:p w:rsidR="00CE4963" w:rsidRPr="00CE4963" w:rsidRDefault="00CE4963" w:rsidP="00F33BC8">
      <w:pPr>
        <w:spacing w:after="0" w:line="240" w:lineRule="auto"/>
        <w:rPr>
          <w:rFonts w:asciiTheme="majorBidi" w:hAnsiTheme="majorBidi" w:cstheme="majorBidi"/>
          <w:b/>
          <w:bCs/>
        </w:rPr>
      </w:pPr>
    </w:p>
    <w:p w:rsidR="00CE4963" w:rsidRPr="00CE4963" w:rsidRDefault="00CE4963" w:rsidP="00F33BC8">
      <w:pPr>
        <w:spacing w:after="0" w:line="240" w:lineRule="auto"/>
        <w:rPr>
          <w:rFonts w:asciiTheme="majorBidi" w:hAnsiTheme="majorBidi" w:cstheme="majorBidi"/>
          <w:b/>
          <w:bCs/>
        </w:rPr>
      </w:pPr>
    </w:p>
    <w:p w:rsidR="00486FBC" w:rsidRPr="00950C34" w:rsidRDefault="00CE4963" w:rsidP="00F33BC8">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(2.1) </w:t>
      </w:r>
      <w:r w:rsidR="00486FBC" w:rsidRPr="00950C34">
        <w:rPr>
          <w:rFonts w:asciiTheme="majorBidi" w:hAnsiTheme="majorBidi" w:cstheme="majorBidi"/>
          <w:b/>
          <w:bCs/>
          <w:sz w:val="24"/>
          <w:szCs w:val="24"/>
        </w:rPr>
        <w:t>Studies on ICT development and economic growth</w:t>
      </w:r>
    </w:p>
    <w:p w:rsidR="00486FBC" w:rsidRPr="00950C34" w:rsidRDefault="00486FBC" w:rsidP="00F33BC8">
      <w:pPr>
        <w:spacing w:after="0" w:line="240" w:lineRule="auto"/>
        <w:rPr>
          <w:rFonts w:asciiTheme="majorBidi" w:hAnsiTheme="majorBidi" w:cstheme="majorBidi"/>
        </w:rPr>
      </w:pPr>
      <w:r w:rsidRPr="00950C34">
        <w:rPr>
          <w:rFonts w:asciiTheme="majorBidi" w:hAnsiTheme="majorBidi" w:cstheme="majorBidi"/>
        </w:rPr>
        <w:t>From the beginning of 1980s, when the information age was initiated, the world witnessed plenty of researches by applying numerous methodologies to evaluate the contribution of ICT to economic prosperity. Although, the preliminary studies have reported little evidence on the contribution of ICT to economic growth and total factor productivity in the 70s and 80s in the U.S economy (Oliner &amp; Sichel 1994, Jorgenson &amp; Stiroh, 1995), the collaboration between ICT and productivity growth was revealed over the second half of the 90s in the U.S economy (Jorgenson, 2001 and Jorgenson &amp; Stiroh, 2000). Furthermore, several studies (e.g. Oliner &amp; Sichel, 2000 and 2002, Baily &amp; Lawrence, 2001, and Jorgenson, Ho &amp; Stiroh, 2004 and 2007) have revealed that the effect of ICT using on other industries (capital deepening) is more effective than ICT production itself.</w:t>
      </w:r>
    </w:p>
    <w:p w:rsidR="00486FBC" w:rsidRPr="00950C34" w:rsidRDefault="00486FBC" w:rsidP="00F33BC8">
      <w:pPr>
        <w:spacing w:after="0" w:line="240" w:lineRule="auto"/>
        <w:rPr>
          <w:rFonts w:asciiTheme="majorBidi" w:hAnsiTheme="majorBidi" w:cstheme="majorBidi"/>
        </w:rPr>
      </w:pPr>
      <w:r w:rsidRPr="00950C34">
        <w:rPr>
          <w:rFonts w:asciiTheme="majorBidi" w:hAnsiTheme="majorBidi" w:cstheme="majorBidi"/>
        </w:rPr>
        <w:t>Beside the studies in the U.S, other researchers examined this approach by considering an individual country or a group of countries. Most developed and industrialized countries found similar conclusions through similar researches that ICT plays a key role in the second half of the 90s, for example, Niininen (2001) and Jalava &amp; Pohjola (2002) in Finland; Oulton (2002) in U.K.; RWI and Gordon (2002) in Germany; Gretton, Gali &amp; Parham (2001) and Simon &amp; Wardrop (2002) in Australia; Kegels, van Overbeke &amp; van Zandweghe (2002) in Belgium; Miyagawa, Ito, &amp; Harada. (2002) in Japan; Armstrong, Harchaoui, Jackson, &amp; Tarkhani (2002) and Khan &amp; Santos (2002) in Canada, Cette, Kokoglu, &amp; Mairesse (2002) in France; Van der Wiel (2002) in Netherlands; and Kim (2002) in South Korea. In general, an implication of these studies is that there is a clear positive link between ICT development and economic growth but it takes a long time to</w:t>
      </w:r>
      <w:r w:rsidR="00923B09" w:rsidRPr="00950C34">
        <w:rPr>
          <w:rFonts w:asciiTheme="majorBidi" w:hAnsiTheme="majorBidi" w:cstheme="majorBidi"/>
        </w:rPr>
        <w:t xml:space="preserve"> become visible</w:t>
      </w:r>
      <w:r w:rsidRPr="00950C34">
        <w:rPr>
          <w:rFonts w:asciiTheme="majorBidi" w:hAnsiTheme="majorBidi" w:cstheme="majorBidi"/>
        </w:rPr>
        <w:t xml:space="preserve"> in macroeconomic level. ICT capital growth accelerates productivity growth but with long lags between 5 to15 years (Basu &amp; Fernald, 2007).</w:t>
      </w:r>
    </w:p>
    <w:p w:rsidR="00E67A12" w:rsidRPr="00950C34" w:rsidRDefault="006B5C5C" w:rsidP="00F33BC8">
      <w:pPr>
        <w:spacing w:after="0" w:line="240" w:lineRule="auto"/>
        <w:rPr>
          <w:rFonts w:asciiTheme="majorBidi" w:hAnsiTheme="majorBidi" w:cstheme="majorBidi"/>
          <w:u w:val="single"/>
        </w:rPr>
      </w:pPr>
      <w:r w:rsidRPr="00950C34">
        <w:rPr>
          <w:rFonts w:asciiTheme="majorBidi" w:hAnsiTheme="majorBidi" w:cstheme="majorBidi"/>
        </w:rPr>
        <w:t xml:space="preserve">From another </w:t>
      </w:r>
      <w:r w:rsidR="001E4334" w:rsidRPr="00950C34">
        <w:rPr>
          <w:rFonts w:asciiTheme="majorBidi" w:hAnsiTheme="majorBidi" w:cstheme="majorBidi"/>
        </w:rPr>
        <w:t>perspective</w:t>
      </w:r>
      <w:r w:rsidRPr="00950C34">
        <w:rPr>
          <w:rFonts w:asciiTheme="majorBidi" w:hAnsiTheme="majorBidi" w:cstheme="majorBidi"/>
        </w:rPr>
        <w:t xml:space="preserve">, </w:t>
      </w:r>
      <w:r w:rsidR="00965045" w:rsidRPr="00950C34">
        <w:rPr>
          <w:rFonts w:asciiTheme="majorBidi" w:hAnsiTheme="majorBidi" w:cstheme="majorBidi"/>
        </w:rPr>
        <w:t xml:space="preserve">relationship between </w:t>
      </w:r>
      <w:r w:rsidRPr="00950C34">
        <w:rPr>
          <w:rFonts w:asciiTheme="majorBidi" w:hAnsiTheme="majorBidi" w:cstheme="majorBidi"/>
        </w:rPr>
        <w:t>ICT and economic</w:t>
      </w:r>
      <w:r w:rsidR="00965045" w:rsidRPr="00950C34">
        <w:rPr>
          <w:rFonts w:asciiTheme="majorBidi" w:hAnsiTheme="majorBidi" w:cstheme="majorBidi"/>
        </w:rPr>
        <w:t xml:space="preserve"> can be scanned through cross-country comparisons that most of them magnify the gap between developed economies to developing one. </w:t>
      </w:r>
      <w:r w:rsidR="00CB71F0" w:rsidRPr="00950C34">
        <w:rPr>
          <w:rFonts w:asciiTheme="majorBidi" w:hAnsiTheme="majorBidi" w:cstheme="majorBidi"/>
        </w:rPr>
        <w:t>The earlier significant studies for comparison of OECD and European Union countries included Daveri (2000</w:t>
      </w:r>
      <w:r w:rsidR="00C53629" w:rsidRPr="00950C34">
        <w:rPr>
          <w:rFonts w:asciiTheme="majorBidi" w:hAnsiTheme="majorBidi" w:cstheme="majorBidi"/>
        </w:rPr>
        <w:t>, 2002</w:t>
      </w:r>
      <w:r w:rsidR="00CB71F0" w:rsidRPr="00950C34">
        <w:rPr>
          <w:rFonts w:asciiTheme="majorBidi" w:hAnsiTheme="majorBidi" w:cstheme="majorBidi"/>
        </w:rPr>
        <w:t>),</w:t>
      </w:r>
      <w:r w:rsidR="00C53629" w:rsidRPr="00950C34">
        <w:rPr>
          <w:rFonts w:asciiTheme="majorBidi" w:hAnsiTheme="majorBidi" w:cstheme="majorBidi"/>
        </w:rPr>
        <w:t xml:space="preserve"> Colecchia and Schreyer (2001), Van Ark, Melka, Mulder, Timmer, and Ypma</w:t>
      </w:r>
      <w:r w:rsidR="00F5313B" w:rsidRPr="00950C34">
        <w:rPr>
          <w:rFonts w:asciiTheme="majorBidi" w:hAnsiTheme="majorBidi" w:cstheme="majorBidi"/>
        </w:rPr>
        <w:t xml:space="preserve"> </w:t>
      </w:r>
      <w:r w:rsidR="00C53629" w:rsidRPr="00950C34">
        <w:rPr>
          <w:rFonts w:asciiTheme="majorBidi" w:hAnsiTheme="majorBidi" w:cstheme="majorBidi"/>
        </w:rPr>
        <w:t>(2002), Daveri (2002), and Timmer, Ypma, and Van Ark (2003)</w:t>
      </w:r>
      <w:r w:rsidR="00CB71F0" w:rsidRPr="00950C34">
        <w:rPr>
          <w:rFonts w:asciiTheme="majorBidi" w:hAnsiTheme="majorBidi" w:cstheme="majorBidi"/>
        </w:rPr>
        <w:t xml:space="preserve">. These studies </w:t>
      </w:r>
      <w:r w:rsidR="00224955" w:rsidRPr="00950C34">
        <w:rPr>
          <w:rFonts w:asciiTheme="majorBidi" w:hAnsiTheme="majorBidi" w:cstheme="majorBidi"/>
        </w:rPr>
        <w:t>sho</w:t>
      </w:r>
      <w:r w:rsidR="00774600" w:rsidRPr="00950C34">
        <w:rPr>
          <w:rFonts w:asciiTheme="majorBidi" w:hAnsiTheme="majorBidi" w:cstheme="majorBidi"/>
        </w:rPr>
        <w:t>we</w:t>
      </w:r>
      <w:r w:rsidR="00224955" w:rsidRPr="00950C34">
        <w:rPr>
          <w:rFonts w:asciiTheme="majorBidi" w:hAnsiTheme="majorBidi" w:cstheme="majorBidi"/>
        </w:rPr>
        <w:t>d that</w:t>
      </w:r>
      <w:r w:rsidR="00C2526A" w:rsidRPr="00950C34">
        <w:rPr>
          <w:rFonts w:asciiTheme="majorBidi" w:hAnsiTheme="majorBidi" w:cstheme="majorBidi"/>
        </w:rPr>
        <w:t xml:space="preserve"> </w:t>
      </w:r>
      <w:r w:rsidR="00244D9F" w:rsidRPr="00950C34">
        <w:rPr>
          <w:rFonts w:asciiTheme="majorBidi" w:hAnsiTheme="majorBidi" w:cstheme="majorBidi"/>
        </w:rPr>
        <w:t>ICT’s contribution to economic growth</w:t>
      </w:r>
      <w:r w:rsidR="000C3206" w:rsidRPr="00950C34">
        <w:rPr>
          <w:rFonts w:asciiTheme="majorBidi" w:hAnsiTheme="majorBidi" w:cstheme="majorBidi"/>
        </w:rPr>
        <w:t xml:space="preserve"> in</w:t>
      </w:r>
      <w:r w:rsidR="00224955" w:rsidRPr="00950C34">
        <w:rPr>
          <w:rFonts w:asciiTheme="majorBidi" w:hAnsiTheme="majorBidi" w:cstheme="majorBidi"/>
        </w:rPr>
        <w:t xml:space="preserve"> US and Canada </w:t>
      </w:r>
      <w:r w:rsidR="00965045" w:rsidRPr="00950C34">
        <w:rPr>
          <w:rFonts w:asciiTheme="majorBidi" w:hAnsiTheme="majorBidi" w:cstheme="majorBidi"/>
        </w:rPr>
        <w:t>has</w:t>
      </w:r>
      <w:r w:rsidR="00244D9F" w:rsidRPr="00950C34">
        <w:rPr>
          <w:rFonts w:asciiTheme="majorBidi" w:hAnsiTheme="majorBidi" w:cstheme="majorBidi"/>
        </w:rPr>
        <w:t xml:space="preserve"> been l</w:t>
      </w:r>
      <w:r w:rsidR="00224955" w:rsidRPr="00950C34">
        <w:rPr>
          <w:rFonts w:asciiTheme="majorBidi" w:hAnsiTheme="majorBidi" w:cstheme="majorBidi"/>
        </w:rPr>
        <w:t>arger</w:t>
      </w:r>
      <w:r w:rsidR="00244D9F" w:rsidRPr="00950C34">
        <w:rPr>
          <w:rFonts w:asciiTheme="majorBidi" w:hAnsiTheme="majorBidi" w:cstheme="majorBidi"/>
        </w:rPr>
        <w:t xml:space="preserve"> than </w:t>
      </w:r>
      <w:r w:rsidR="00224955" w:rsidRPr="00950C34">
        <w:rPr>
          <w:rFonts w:asciiTheme="majorBidi" w:hAnsiTheme="majorBidi" w:cstheme="majorBidi"/>
        </w:rPr>
        <w:t>other countries</w:t>
      </w:r>
      <w:r w:rsidR="00965045" w:rsidRPr="00950C34">
        <w:rPr>
          <w:rFonts w:asciiTheme="majorBidi" w:hAnsiTheme="majorBidi" w:cstheme="majorBidi"/>
        </w:rPr>
        <w:t xml:space="preserve">, meanwhile, there is a </w:t>
      </w:r>
      <w:r w:rsidR="00433CA0" w:rsidRPr="00950C34">
        <w:rPr>
          <w:rFonts w:asciiTheme="majorBidi" w:hAnsiTheme="majorBidi" w:cstheme="majorBidi"/>
        </w:rPr>
        <w:t>different growth contribution of ICT between European Union countries</w:t>
      </w:r>
      <w:r w:rsidR="000C3206" w:rsidRPr="00950C34">
        <w:rPr>
          <w:rFonts w:asciiTheme="majorBidi" w:hAnsiTheme="majorBidi" w:cstheme="majorBidi"/>
        </w:rPr>
        <w:t>.</w:t>
      </w:r>
      <w:r w:rsidR="00355449" w:rsidRPr="00950C34">
        <w:rPr>
          <w:rFonts w:asciiTheme="majorBidi" w:hAnsiTheme="majorBidi" w:cstheme="majorBidi"/>
        </w:rPr>
        <w:t xml:space="preserve"> </w:t>
      </w:r>
      <w:r w:rsidR="002D3D9E" w:rsidRPr="00950C34">
        <w:rPr>
          <w:rFonts w:asciiTheme="majorBidi" w:hAnsiTheme="majorBidi" w:cstheme="majorBidi"/>
        </w:rPr>
        <w:t>On the other hand,</w:t>
      </w:r>
      <w:r w:rsidR="00355449" w:rsidRPr="00950C34">
        <w:rPr>
          <w:rFonts w:asciiTheme="majorBidi" w:hAnsiTheme="majorBidi" w:cstheme="majorBidi"/>
        </w:rPr>
        <w:t xml:space="preserve"> </w:t>
      </w:r>
      <w:r w:rsidR="002D3D9E" w:rsidRPr="00950C34">
        <w:rPr>
          <w:rFonts w:asciiTheme="majorBidi" w:hAnsiTheme="majorBidi" w:cstheme="majorBidi"/>
        </w:rPr>
        <w:t>the major</w:t>
      </w:r>
      <w:r w:rsidR="00224955" w:rsidRPr="00950C34">
        <w:rPr>
          <w:rFonts w:asciiTheme="majorBidi" w:hAnsiTheme="majorBidi" w:cstheme="majorBidi"/>
        </w:rPr>
        <w:t xml:space="preserve"> </w:t>
      </w:r>
      <w:r w:rsidR="002D3D9E" w:rsidRPr="00950C34">
        <w:rPr>
          <w:rFonts w:asciiTheme="majorBidi" w:hAnsiTheme="majorBidi" w:cstheme="majorBidi"/>
        </w:rPr>
        <w:t>comparing</w:t>
      </w:r>
      <w:r w:rsidR="001125DD" w:rsidRPr="00950C34">
        <w:rPr>
          <w:rFonts w:asciiTheme="majorBidi" w:hAnsiTheme="majorBidi" w:cstheme="majorBidi"/>
        </w:rPr>
        <w:t xml:space="preserve"> studies between developed and developing countries</w:t>
      </w:r>
      <w:r w:rsidR="00224955" w:rsidRPr="00950C34">
        <w:rPr>
          <w:rFonts w:asciiTheme="majorBidi" w:hAnsiTheme="majorBidi" w:cstheme="majorBidi"/>
        </w:rPr>
        <w:t xml:space="preserve"> (Dewan &amp; </w:t>
      </w:r>
      <w:r w:rsidR="002D3D9E" w:rsidRPr="00950C34">
        <w:rPr>
          <w:rFonts w:asciiTheme="majorBidi" w:hAnsiTheme="majorBidi" w:cstheme="majorBidi"/>
        </w:rPr>
        <w:t>Kraemer, 2000;</w:t>
      </w:r>
      <w:r w:rsidR="00224955" w:rsidRPr="00950C34">
        <w:rPr>
          <w:rFonts w:asciiTheme="majorBidi" w:hAnsiTheme="majorBidi" w:cstheme="majorBidi"/>
        </w:rPr>
        <w:t xml:space="preserve"> Pohjola, 2001)</w:t>
      </w:r>
      <w:r w:rsidR="001125DD" w:rsidRPr="00950C34">
        <w:rPr>
          <w:rFonts w:asciiTheme="majorBidi" w:hAnsiTheme="majorBidi" w:cstheme="majorBidi"/>
        </w:rPr>
        <w:t xml:space="preserve"> </w:t>
      </w:r>
      <w:r w:rsidR="00CE4F4E" w:rsidRPr="00950C34">
        <w:rPr>
          <w:rFonts w:asciiTheme="majorBidi" w:hAnsiTheme="majorBidi" w:cstheme="majorBidi"/>
        </w:rPr>
        <w:t>indicate that</w:t>
      </w:r>
      <w:r w:rsidR="00224955" w:rsidRPr="00950C34">
        <w:rPr>
          <w:rFonts w:asciiTheme="majorBidi" w:hAnsiTheme="majorBidi" w:cstheme="majorBidi"/>
        </w:rPr>
        <w:t xml:space="preserve"> in contrast </w:t>
      </w:r>
      <w:r w:rsidR="002D3D9E" w:rsidRPr="00950C34">
        <w:rPr>
          <w:rFonts w:asciiTheme="majorBidi" w:hAnsiTheme="majorBidi" w:cstheme="majorBidi"/>
        </w:rPr>
        <w:t xml:space="preserve">to </w:t>
      </w:r>
      <w:r w:rsidR="00224955" w:rsidRPr="00950C34">
        <w:rPr>
          <w:rFonts w:asciiTheme="majorBidi" w:hAnsiTheme="majorBidi" w:cstheme="majorBidi"/>
        </w:rPr>
        <w:t>develop</w:t>
      </w:r>
      <w:r w:rsidR="000408CE" w:rsidRPr="00950C34">
        <w:rPr>
          <w:rFonts w:asciiTheme="majorBidi" w:hAnsiTheme="majorBidi" w:cstheme="majorBidi"/>
        </w:rPr>
        <w:t>ed</w:t>
      </w:r>
      <w:r w:rsidR="00224955" w:rsidRPr="00950C34">
        <w:rPr>
          <w:rFonts w:asciiTheme="majorBidi" w:hAnsiTheme="majorBidi" w:cstheme="majorBidi"/>
        </w:rPr>
        <w:t xml:space="preserve"> countries,</w:t>
      </w:r>
      <w:r w:rsidR="00CE4F4E" w:rsidRPr="00950C34">
        <w:rPr>
          <w:rFonts w:asciiTheme="majorBidi" w:hAnsiTheme="majorBidi" w:cstheme="majorBidi"/>
        </w:rPr>
        <w:t xml:space="preserve"> </w:t>
      </w:r>
      <w:r w:rsidR="001125DD" w:rsidRPr="00950C34">
        <w:rPr>
          <w:rFonts w:asciiTheme="majorBidi" w:hAnsiTheme="majorBidi" w:cstheme="majorBidi"/>
        </w:rPr>
        <w:t xml:space="preserve">developing </w:t>
      </w:r>
      <w:r w:rsidR="002D3D9E" w:rsidRPr="00950C34">
        <w:rPr>
          <w:rFonts w:asciiTheme="majorBidi" w:hAnsiTheme="majorBidi" w:cstheme="majorBidi"/>
        </w:rPr>
        <w:t>ones</w:t>
      </w:r>
      <w:r w:rsidR="00224955" w:rsidRPr="00950C34">
        <w:rPr>
          <w:rFonts w:asciiTheme="majorBidi" w:hAnsiTheme="majorBidi" w:cstheme="majorBidi"/>
        </w:rPr>
        <w:t xml:space="preserve"> </w:t>
      </w:r>
      <w:r w:rsidR="001125DD" w:rsidRPr="00950C34">
        <w:rPr>
          <w:rFonts w:asciiTheme="majorBidi" w:hAnsiTheme="majorBidi" w:cstheme="majorBidi"/>
        </w:rPr>
        <w:t>did not experience significant returns</w:t>
      </w:r>
      <w:r w:rsidR="00224955" w:rsidRPr="00950C34">
        <w:rPr>
          <w:rFonts w:asciiTheme="majorBidi" w:hAnsiTheme="majorBidi" w:cstheme="majorBidi"/>
        </w:rPr>
        <w:t xml:space="preserve"> from ICT development</w:t>
      </w:r>
      <w:r w:rsidR="00D36A8B" w:rsidRPr="00950C34">
        <w:rPr>
          <w:rFonts w:asciiTheme="majorBidi" w:hAnsiTheme="majorBidi" w:cstheme="majorBidi"/>
        </w:rPr>
        <w:t>.</w:t>
      </w:r>
      <w:r w:rsidR="00D33F51" w:rsidRPr="00950C34">
        <w:rPr>
          <w:rFonts w:asciiTheme="majorBidi" w:hAnsiTheme="majorBidi" w:cstheme="majorBidi"/>
        </w:rPr>
        <w:t xml:space="preserve"> </w:t>
      </w:r>
      <w:r w:rsidR="00492F2E" w:rsidRPr="00950C34">
        <w:rPr>
          <w:rFonts w:asciiTheme="majorBidi" w:hAnsiTheme="majorBidi" w:cstheme="majorBidi"/>
        </w:rPr>
        <w:t>At the same time, different studies focused</w:t>
      </w:r>
      <w:r w:rsidR="00C342D4" w:rsidRPr="00950C34">
        <w:rPr>
          <w:rFonts w:asciiTheme="majorBidi" w:hAnsiTheme="majorBidi" w:cstheme="majorBidi"/>
        </w:rPr>
        <w:t xml:space="preserve"> on</w:t>
      </w:r>
      <w:r w:rsidR="00492F2E" w:rsidRPr="00950C34">
        <w:rPr>
          <w:rFonts w:asciiTheme="majorBidi" w:hAnsiTheme="majorBidi" w:cstheme="majorBidi"/>
        </w:rPr>
        <w:t>ly on</w:t>
      </w:r>
      <w:r w:rsidR="00BC6C33" w:rsidRPr="00950C34">
        <w:rPr>
          <w:rFonts w:asciiTheme="majorBidi" w:hAnsiTheme="majorBidi" w:cstheme="majorBidi"/>
        </w:rPr>
        <w:t xml:space="preserve"> developing </w:t>
      </w:r>
      <w:r w:rsidR="00CE6553" w:rsidRPr="00950C34">
        <w:rPr>
          <w:rFonts w:asciiTheme="majorBidi" w:hAnsiTheme="majorBidi" w:cstheme="majorBidi"/>
        </w:rPr>
        <w:t>countries</w:t>
      </w:r>
      <w:r w:rsidR="002C49DC" w:rsidRPr="00950C34">
        <w:rPr>
          <w:rFonts w:asciiTheme="majorBidi" w:hAnsiTheme="majorBidi" w:cstheme="majorBidi"/>
        </w:rPr>
        <w:t xml:space="preserve"> </w:t>
      </w:r>
      <w:r w:rsidR="00C342D4" w:rsidRPr="00950C34">
        <w:rPr>
          <w:rFonts w:asciiTheme="majorBidi" w:hAnsiTheme="majorBidi" w:cstheme="majorBidi"/>
        </w:rPr>
        <w:t xml:space="preserve">consistent with </w:t>
      </w:r>
      <w:r w:rsidR="00492F2E" w:rsidRPr="00950C34">
        <w:rPr>
          <w:rFonts w:asciiTheme="majorBidi" w:hAnsiTheme="majorBidi" w:cstheme="majorBidi"/>
        </w:rPr>
        <w:t xml:space="preserve">the results which </w:t>
      </w:r>
      <w:r w:rsidR="00C342D4" w:rsidRPr="00950C34">
        <w:rPr>
          <w:rFonts w:asciiTheme="majorBidi" w:hAnsiTheme="majorBidi" w:cstheme="majorBidi"/>
        </w:rPr>
        <w:t xml:space="preserve">reported </w:t>
      </w:r>
      <w:r w:rsidR="00355449" w:rsidRPr="00950C34">
        <w:rPr>
          <w:rFonts w:asciiTheme="majorBidi" w:hAnsiTheme="majorBidi" w:cstheme="majorBidi"/>
        </w:rPr>
        <w:t>a limited impact of ICT development on economic growth for developing countries</w:t>
      </w:r>
      <w:r w:rsidR="000408CE" w:rsidRPr="00950C34">
        <w:rPr>
          <w:rFonts w:asciiTheme="majorBidi" w:hAnsiTheme="majorBidi" w:cstheme="majorBidi"/>
        </w:rPr>
        <w:t>,</w:t>
      </w:r>
      <w:r w:rsidR="00355449" w:rsidRPr="00950C34">
        <w:rPr>
          <w:rFonts w:asciiTheme="majorBidi" w:hAnsiTheme="majorBidi" w:cstheme="majorBidi"/>
        </w:rPr>
        <w:t xml:space="preserve"> Avgerou (1998), Wang (1999) in Taiwan, Meng</w:t>
      </w:r>
      <w:r w:rsidR="003917C0" w:rsidRPr="00950C34">
        <w:rPr>
          <w:rFonts w:asciiTheme="majorBidi" w:hAnsiTheme="majorBidi" w:cstheme="majorBidi"/>
        </w:rPr>
        <w:t xml:space="preserve"> &amp; Li (2002) in China. In Mideast area Nour (2002) by using data from Egypt and some of the Persian Gulf countries reported that </w:t>
      </w:r>
      <w:r w:rsidR="00355449" w:rsidRPr="00950C34">
        <w:rPr>
          <w:rFonts w:asciiTheme="majorBidi" w:hAnsiTheme="majorBidi" w:cstheme="majorBidi"/>
        </w:rPr>
        <w:t>the correlation between ICT development and economic growth was positive but was not significant</w:t>
      </w:r>
      <w:r w:rsidR="00615ED1" w:rsidRPr="00950C34">
        <w:rPr>
          <w:rFonts w:asciiTheme="majorBidi" w:hAnsiTheme="majorBidi" w:cstheme="majorBidi"/>
        </w:rPr>
        <w:t>.</w:t>
      </w:r>
      <w:r w:rsidR="0060717D" w:rsidRPr="00950C34">
        <w:rPr>
          <w:rFonts w:asciiTheme="majorBidi" w:hAnsiTheme="majorBidi" w:cstheme="majorBidi"/>
        </w:rPr>
        <w:t xml:space="preserve"> However, unlike</w:t>
      </w:r>
      <w:r w:rsidR="00CA0119" w:rsidRPr="00950C34">
        <w:rPr>
          <w:rFonts w:asciiTheme="majorBidi" w:hAnsiTheme="majorBidi" w:cstheme="majorBidi"/>
        </w:rPr>
        <w:t xml:space="preserve"> the </w:t>
      </w:r>
      <w:r w:rsidR="00655A72" w:rsidRPr="00950C34">
        <w:rPr>
          <w:rFonts w:asciiTheme="majorBidi" w:hAnsiTheme="majorBidi" w:cstheme="majorBidi"/>
        </w:rPr>
        <w:t>most developing countries,</w:t>
      </w:r>
      <w:r w:rsidR="009E11F1" w:rsidRPr="00950C34">
        <w:rPr>
          <w:rFonts w:asciiTheme="majorBidi" w:hAnsiTheme="majorBidi" w:cstheme="majorBidi"/>
        </w:rPr>
        <w:t xml:space="preserve"> the East Asian and South </w:t>
      </w:r>
      <w:r w:rsidR="001124E3" w:rsidRPr="00950C34">
        <w:rPr>
          <w:rFonts w:asciiTheme="majorBidi" w:hAnsiTheme="majorBidi" w:cstheme="majorBidi"/>
        </w:rPr>
        <w:t>East Asian countries have</w:t>
      </w:r>
      <w:r w:rsidR="009E11F1" w:rsidRPr="00950C34">
        <w:rPr>
          <w:rFonts w:asciiTheme="majorBidi" w:hAnsiTheme="majorBidi" w:cstheme="majorBidi"/>
        </w:rPr>
        <w:t xml:space="preserve"> </w:t>
      </w:r>
      <w:r w:rsidR="00380841" w:rsidRPr="00950C34">
        <w:rPr>
          <w:rFonts w:asciiTheme="majorBidi" w:hAnsiTheme="majorBidi" w:cstheme="majorBidi"/>
        </w:rPr>
        <w:t xml:space="preserve">benefited </w:t>
      </w:r>
      <w:r w:rsidR="009E11F1" w:rsidRPr="00950C34">
        <w:rPr>
          <w:rFonts w:asciiTheme="majorBidi" w:hAnsiTheme="majorBidi" w:cstheme="majorBidi"/>
        </w:rPr>
        <w:t>successful</w:t>
      </w:r>
      <w:r w:rsidR="00380841" w:rsidRPr="00950C34">
        <w:rPr>
          <w:rFonts w:asciiTheme="majorBidi" w:hAnsiTheme="majorBidi" w:cstheme="majorBidi"/>
        </w:rPr>
        <w:t xml:space="preserve">ly </w:t>
      </w:r>
      <w:r w:rsidR="001124E3" w:rsidRPr="00950C34">
        <w:rPr>
          <w:rFonts w:asciiTheme="majorBidi" w:hAnsiTheme="majorBidi" w:cstheme="majorBidi"/>
        </w:rPr>
        <w:t>from</w:t>
      </w:r>
      <w:r w:rsidR="009E11F1" w:rsidRPr="00950C34">
        <w:rPr>
          <w:rFonts w:asciiTheme="majorBidi" w:hAnsiTheme="majorBidi" w:cstheme="majorBidi"/>
        </w:rPr>
        <w:t xml:space="preserve"> ICT in their economic and social development (Jussawalla </w:t>
      </w:r>
      <w:r w:rsidR="00225617" w:rsidRPr="00950C34">
        <w:rPr>
          <w:rFonts w:asciiTheme="majorBidi" w:hAnsiTheme="majorBidi" w:cstheme="majorBidi"/>
        </w:rPr>
        <w:t>&amp;</w:t>
      </w:r>
      <w:r w:rsidR="009E11F1" w:rsidRPr="00950C34">
        <w:rPr>
          <w:rFonts w:asciiTheme="majorBidi" w:hAnsiTheme="majorBidi" w:cstheme="majorBidi"/>
        </w:rPr>
        <w:t xml:space="preserve"> Taylor, 2003). </w:t>
      </w:r>
      <w:r w:rsidR="0084776B" w:rsidRPr="00950C34">
        <w:rPr>
          <w:rFonts w:asciiTheme="majorBidi" w:hAnsiTheme="majorBidi" w:cstheme="majorBidi"/>
        </w:rPr>
        <w:t xml:space="preserve">According to </w:t>
      </w:r>
      <w:r w:rsidR="009E11F1" w:rsidRPr="00950C34">
        <w:rPr>
          <w:rFonts w:asciiTheme="majorBidi" w:hAnsiTheme="majorBidi" w:cstheme="majorBidi"/>
        </w:rPr>
        <w:lastRenderedPageBreak/>
        <w:t>Kuppusamy, Pahlavani</w:t>
      </w:r>
      <w:r w:rsidR="00380841" w:rsidRPr="00950C34">
        <w:rPr>
          <w:rFonts w:asciiTheme="majorBidi" w:hAnsiTheme="majorBidi" w:cstheme="majorBidi"/>
        </w:rPr>
        <w:t>, and</w:t>
      </w:r>
      <w:r w:rsidR="009E11F1" w:rsidRPr="00950C34">
        <w:rPr>
          <w:rFonts w:asciiTheme="majorBidi" w:hAnsiTheme="majorBidi" w:cstheme="majorBidi"/>
        </w:rPr>
        <w:t xml:space="preserve"> Saleh (2008) ICT investment has had a positive and significant long-run relationship with economic growth in Australia, Malaysia and Singapore. </w:t>
      </w:r>
    </w:p>
    <w:p w:rsidR="00DA7E85" w:rsidRPr="00950C34" w:rsidRDefault="00B753C3" w:rsidP="00F33BC8">
      <w:pPr>
        <w:spacing w:after="0" w:line="240" w:lineRule="auto"/>
        <w:rPr>
          <w:rFonts w:asciiTheme="majorBidi" w:hAnsiTheme="majorBidi" w:cstheme="majorBidi"/>
        </w:rPr>
      </w:pPr>
      <w:r w:rsidRPr="00950C34">
        <w:rPr>
          <w:rFonts w:asciiTheme="majorBidi" w:hAnsiTheme="majorBidi" w:cstheme="majorBidi"/>
        </w:rPr>
        <w:t>Piatkowski (2002) claims that ICT investment in less developed countries is</w:t>
      </w:r>
      <w:r w:rsidR="003C0D68" w:rsidRPr="00950C34">
        <w:rPr>
          <w:rFonts w:asciiTheme="majorBidi" w:hAnsiTheme="majorBidi" w:cstheme="majorBidi"/>
        </w:rPr>
        <w:t xml:space="preserve"> not large enough to</w:t>
      </w:r>
      <w:r w:rsidRPr="00950C34">
        <w:rPr>
          <w:rFonts w:asciiTheme="majorBidi" w:hAnsiTheme="majorBidi" w:cstheme="majorBidi"/>
        </w:rPr>
        <w:t xml:space="preserve"> </w:t>
      </w:r>
      <w:r w:rsidR="003C0D68" w:rsidRPr="00950C34">
        <w:rPr>
          <w:rFonts w:asciiTheme="majorBidi" w:hAnsiTheme="majorBidi" w:cstheme="majorBidi"/>
        </w:rPr>
        <w:t>assess</w:t>
      </w:r>
      <w:r w:rsidRPr="00950C34">
        <w:rPr>
          <w:rFonts w:asciiTheme="majorBidi" w:hAnsiTheme="majorBidi" w:cstheme="majorBidi"/>
        </w:rPr>
        <w:t xml:space="preserve"> their </w:t>
      </w:r>
      <w:r w:rsidR="003C0D68" w:rsidRPr="00950C34">
        <w:rPr>
          <w:rFonts w:asciiTheme="majorBidi" w:hAnsiTheme="majorBidi" w:cstheme="majorBidi"/>
        </w:rPr>
        <w:t>impact</w:t>
      </w:r>
      <w:r w:rsidRPr="00950C34">
        <w:rPr>
          <w:rFonts w:asciiTheme="majorBidi" w:hAnsiTheme="majorBidi" w:cstheme="majorBidi"/>
        </w:rPr>
        <w:t xml:space="preserve"> on </w:t>
      </w:r>
      <w:r w:rsidR="00AD1D09" w:rsidRPr="00950C34">
        <w:rPr>
          <w:rFonts w:asciiTheme="majorBidi" w:hAnsiTheme="majorBidi" w:cstheme="majorBidi"/>
        </w:rPr>
        <w:t>output</w:t>
      </w:r>
      <w:r w:rsidRPr="00950C34">
        <w:rPr>
          <w:rFonts w:asciiTheme="majorBidi" w:hAnsiTheme="majorBidi" w:cstheme="majorBidi"/>
        </w:rPr>
        <w:t xml:space="preserve"> growth. Therefore</w:t>
      </w:r>
      <w:r w:rsidR="00AD1D09" w:rsidRPr="00950C34">
        <w:rPr>
          <w:rFonts w:asciiTheme="majorBidi" w:hAnsiTheme="majorBidi" w:cstheme="majorBidi"/>
        </w:rPr>
        <w:t>,</w:t>
      </w:r>
      <w:r w:rsidRPr="00950C34">
        <w:rPr>
          <w:rFonts w:asciiTheme="majorBidi" w:hAnsiTheme="majorBidi" w:cstheme="majorBidi"/>
        </w:rPr>
        <w:t xml:space="preserve"> due to</w:t>
      </w:r>
      <w:r w:rsidR="003C0D68" w:rsidRPr="00950C34">
        <w:rPr>
          <w:rFonts w:asciiTheme="majorBidi" w:hAnsiTheme="majorBidi" w:cstheme="majorBidi"/>
        </w:rPr>
        <w:t xml:space="preserve"> short of capital investment and lack of </w:t>
      </w:r>
      <w:r w:rsidR="002D4878" w:rsidRPr="00950C34">
        <w:rPr>
          <w:rFonts w:asciiTheme="majorBidi" w:hAnsiTheme="majorBidi" w:cstheme="majorBidi"/>
        </w:rPr>
        <w:t xml:space="preserve">knowledge </w:t>
      </w:r>
      <w:r w:rsidR="003C0D68" w:rsidRPr="00950C34">
        <w:rPr>
          <w:rFonts w:asciiTheme="majorBidi" w:hAnsiTheme="majorBidi" w:cstheme="majorBidi"/>
        </w:rPr>
        <w:t>as well as the existing  lag</w:t>
      </w:r>
      <w:r w:rsidR="002D4878" w:rsidRPr="00950C34">
        <w:rPr>
          <w:rFonts w:asciiTheme="majorBidi" w:hAnsiTheme="majorBidi" w:cstheme="majorBidi"/>
        </w:rPr>
        <w:t xml:space="preserve"> behind ICT</w:t>
      </w:r>
      <w:r w:rsidR="00AD1D09" w:rsidRPr="00950C34">
        <w:rPr>
          <w:rFonts w:asciiTheme="majorBidi" w:hAnsiTheme="majorBidi" w:cstheme="majorBidi"/>
        </w:rPr>
        <w:t xml:space="preserve"> </w:t>
      </w:r>
      <w:r w:rsidR="002D4878" w:rsidRPr="00950C34">
        <w:rPr>
          <w:rFonts w:asciiTheme="majorBidi" w:hAnsiTheme="majorBidi" w:cstheme="majorBidi"/>
        </w:rPr>
        <w:t xml:space="preserve">diffusion, the role of the ICT </w:t>
      </w:r>
      <w:r w:rsidR="00B507BC" w:rsidRPr="00950C34">
        <w:rPr>
          <w:rFonts w:asciiTheme="majorBidi" w:hAnsiTheme="majorBidi" w:cstheme="majorBidi"/>
        </w:rPr>
        <w:t>investment</w:t>
      </w:r>
      <w:r w:rsidR="002D4878" w:rsidRPr="00950C34">
        <w:rPr>
          <w:rFonts w:asciiTheme="majorBidi" w:hAnsiTheme="majorBidi" w:cstheme="majorBidi"/>
        </w:rPr>
        <w:t xml:space="preserve"> </w:t>
      </w:r>
      <w:r w:rsidR="00AD1D09" w:rsidRPr="00950C34">
        <w:rPr>
          <w:rFonts w:asciiTheme="majorBidi" w:hAnsiTheme="majorBidi" w:cstheme="majorBidi"/>
        </w:rPr>
        <w:t xml:space="preserve">in developing countries </w:t>
      </w:r>
      <w:r w:rsidR="003C0D68" w:rsidRPr="00950C34">
        <w:rPr>
          <w:rFonts w:asciiTheme="majorBidi" w:hAnsiTheme="majorBidi" w:cstheme="majorBidi"/>
        </w:rPr>
        <w:t>is not so</w:t>
      </w:r>
      <w:r w:rsidR="002D4878" w:rsidRPr="00950C34">
        <w:rPr>
          <w:rFonts w:asciiTheme="majorBidi" w:hAnsiTheme="majorBidi" w:cstheme="majorBidi"/>
        </w:rPr>
        <w:t xml:space="preserve"> </w:t>
      </w:r>
      <w:r w:rsidR="003C0D68" w:rsidRPr="00950C34">
        <w:rPr>
          <w:rFonts w:asciiTheme="majorBidi" w:hAnsiTheme="majorBidi" w:cstheme="majorBidi"/>
        </w:rPr>
        <w:t>clear</w:t>
      </w:r>
      <w:r w:rsidRPr="00950C34">
        <w:rPr>
          <w:rFonts w:asciiTheme="majorBidi" w:hAnsiTheme="majorBidi" w:cstheme="majorBidi"/>
        </w:rPr>
        <w:t xml:space="preserve"> </w:t>
      </w:r>
      <w:r w:rsidR="00AD1D09" w:rsidRPr="00950C34">
        <w:rPr>
          <w:rFonts w:asciiTheme="majorBidi" w:hAnsiTheme="majorBidi" w:cstheme="majorBidi"/>
        </w:rPr>
        <w:t>(</w:t>
      </w:r>
      <w:r w:rsidRPr="00950C34">
        <w:rPr>
          <w:rFonts w:asciiTheme="majorBidi" w:hAnsiTheme="majorBidi" w:cstheme="majorBidi"/>
        </w:rPr>
        <w:t>Meng &amp; Li</w:t>
      </w:r>
      <w:r w:rsidR="00AD1D09" w:rsidRPr="00950C34">
        <w:rPr>
          <w:rFonts w:asciiTheme="majorBidi" w:hAnsiTheme="majorBidi" w:cstheme="majorBidi"/>
        </w:rPr>
        <w:t>,</w:t>
      </w:r>
      <w:r w:rsidRPr="00950C34">
        <w:rPr>
          <w:rFonts w:asciiTheme="majorBidi" w:hAnsiTheme="majorBidi" w:cstheme="majorBidi"/>
        </w:rPr>
        <w:t xml:space="preserve"> 2002)</w:t>
      </w:r>
      <w:r w:rsidR="002D4878" w:rsidRPr="00950C34">
        <w:rPr>
          <w:rFonts w:asciiTheme="majorBidi" w:hAnsiTheme="majorBidi" w:cstheme="majorBidi"/>
        </w:rPr>
        <w:t xml:space="preserve">. Elsewhere, Lee, Gholami &amp; Tong (2005) suggest that </w:t>
      </w:r>
      <w:r w:rsidR="00365181" w:rsidRPr="00950C34">
        <w:rPr>
          <w:rFonts w:asciiTheme="majorBidi" w:hAnsiTheme="majorBidi" w:cstheme="majorBidi"/>
        </w:rPr>
        <w:t>some threshold of ICT capital m</w:t>
      </w:r>
      <w:r w:rsidR="003C0D68" w:rsidRPr="00950C34">
        <w:rPr>
          <w:rFonts w:asciiTheme="majorBidi" w:hAnsiTheme="majorBidi" w:cstheme="majorBidi"/>
        </w:rPr>
        <w:t>ust be gained</w:t>
      </w:r>
      <w:r w:rsidR="00365181" w:rsidRPr="00950C34">
        <w:rPr>
          <w:rFonts w:asciiTheme="majorBidi" w:hAnsiTheme="majorBidi" w:cstheme="majorBidi"/>
        </w:rPr>
        <w:t xml:space="preserve"> before their effect becomes measurable. </w:t>
      </w:r>
      <w:r w:rsidR="00F51971" w:rsidRPr="00950C34">
        <w:rPr>
          <w:rFonts w:asciiTheme="majorBidi" w:hAnsiTheme="majorBidi" w:cstheme="majorBidi"/>
        </w:rPr>
        <w:t>Thus,</w:t>
      </w:r>
      <w:r w:rsidR="00AD1D09" w:rsidRPr="00950C34">
        <w:rPr>
          <w:rFonts w:asciiTheme="majorBidi" w:hAnsiTheme="majorBidi" w:cstheme="majorBidi"/>
        </w:rPr>
        <w:t xml:space="preserve"> they suggest</w:t>
      </w:r>
      <w:r w:rsidR="00AE09BB" w:rsidRPr="00950C34">
        <w:rPr>
          <w:rFonts w:asciiTheme="majorBidi" w:hAnsiTheme="majorBidi" w:cstheme="majorBidi"/>
        </w:rPr>
        <w:t xml:space="preserve"> to</w:t>
      </w:r>
      <w:r w:rsidR="00365181" w:rsidRPr="00950C34">
        <w:rPr>
          <w:rFonts w:asciiTheme="majorBidi" w:hAnsiTheme="majorBidi" w:cstheme="majorBidi"/>
        </w:rPr>
        <w:t xml:space="preserve"> developing countries </w:t>
      </w:r>
      <w:r w:rsidR="00AE09BB" w:rsidRPr="00950C34">
        <w:rPr>
          <w:rFonts w:asciiTheme="majorBidi" w:hAnsiTheme="majorBidi" w:cstheme="majorBidi"/>
        </w:rPr>
        <w:t>to</w:t>
      </w:r>
      <w:r w:rsidR="00365181" w:rsidRPr="00950C34">
        <w:rPr>
          <w:rFonts w:asciiTheme="majorBidi" w:hAnsiTheme="majorBidi" w:cstheme="majorBidi"/>
        </w:rPr>
        <w:t xml:space="preserve"> </w:t>
      </w:r>
      <w:r w:rsidR="00AE09BB" w:rsidRPr="00950C34">
        <w:rPr>
          <w:rFonts w:asciiTheme="majorBidi" w:hAnsiTheme="majorBidi" w:cstheme="majorBidi"/>
        </w:rPr>
        <w:t>promote</w:t>
      </w:r>
      <w:r w:rsidR="00365181" w:rsidRPr="00950C34">
        <w:rPr>
          <w:rFonts w:asciiTheme="majorBidi" w:hAnsiTheme="majorBidi" w:cstheme="majorBidi"/>
        </w:rPr>
        <w:t xml:space="preserve"> use</w:t>
      </w:r>
      <w:r w:rsidR="00AE09BB" w:rsidRPr="00950C34">
        <w:rPr>
          <w:rFonts w:asciiTheme="majorBidi" w:hAnsiTheme="majorBidi" w:cstheme="majorBidi"/>
        </w:rPr>
        <w:t xml:space="preserve"> of</w:t>
      </w:r>
      <w:r w:rsidR="00365181" w:rsidRPr="00950C34">
        <w:rPr>
          <w:rFonts w:asciiTheme="majorBidi" w:hAnsiTheme="majorBidi" w:cstheme="majorBidi"/>
        </w:rPr>
        <w:t xml:space="preserve"> </w:t>
      </w:r>
      <w:r w:rsidR="00AE09BB" w:rsidRPr="00950C34">
        <w:rPr>
          <w:rFonts w:asciiTheme="majorBidi" w:hAnsiTheme="majorBidi" w:cstheme="majorBidi"/>
        </w:rPr>
        <w:t xml:space="preserve">ICT </w:t>
      </w:r>
      <w:r w:rsidR="00365181" w:rsidRPr="00950C34">
        <w:rPr>
          <w:rFonts w:asciiTheme="majorBidi" w:hAnsiTheme="majorBidi" w:cstheme="majorBidi"/>
        </w:rPr>
        <w:t>and</w:t>
      </w:r>
      <w:r w:rsidR="00AE09BB" w:rsidRPr="00950C34">
        <w:rPr>
          <w:rFonts w:asciiTheme="majorBidi" w:hAnsiTheme="majorBidi" w:cstheme="majorBidi"/>
        </w:rPr>
        <w:t xml:space="preserve"> provide </w:t>
      </w:r>
      <w:r w:rsidR="00365181" w:rsidRPr="00950C34">
        <w:rPr>
          <w:rFonts w:asciiTheme="majorBidi" w:hAnsiTheme="majorBidi" w:cstheme="majorBidi"/>
        </w:rPr>
        <w:t xml:space="preserve">the environmental conditions to </w:t>
      </w:r>
      <w:r w:rsidR="0013707E" w:rsidRPr="00950C34">
        <w:rPr>
          <w:rFonts w:asciiTheme="majorBidi" w:hAnsiTheme="majorBidi" w:cstheme="majorBidi"/>
        </w:rPr>
        <w:t>sustain</w:t>
      </w:r>
      <w:r w:rsidR="00365181" w:rsidRPr="00950C34">
        <w:rPr>
          <w:rFonts w:asciiTheme="majorBidi" w:hAnsiTheme="majorBidi" w:cstheme="majorBidi"/>
        </w:rPr>
        <w:t xml:space="preserve"> the effective use of ICT.</w:t>
      </w:r>
      <w:r w:rsidR="002D4878" w:rsidRPr="00950C34">
        <w:rPr>
          <w:rFonts w:asciiTheme="majorBidi" w:hAnsiTheme="majorBidi" w:cstheme="majorBidi"/>
        </w:rPr>
        <w:t xml:space="preserve"> </w:t>
      </w:r>
      <w:r w:rsidR="00DA7E85" w:rsidRPr="00950C34">
        <w:rPr>
          <w:rFonts w:asciiTheme="majorBidi" w:hAnsiTheme="majorBidi" w:cstheme="majorBidi"/>
        </w:rPr>
        <w:t xml:space="preserve">Furthermore, </w:t>
      </w:r>
      <w:r w:rsidR="00365181" w:rsidRPr="00950C34">
        <w:rPr>
          <w:rFonts w:asciiTheme="majorBidi" w:hAnsiTheme="majorBidi" w:cstheme="majorBidi"/>
        </w:rPr>
        <w:t xml:space="preserve">Grace, Kenny, and Qiang (2003) </w:t>
      </w:r>
      <w:r w:rsidR="00A14F7E" w:rsidRPr="00950C34">
        <w:rPr>
          <w:rFonts w:asciiTheme="majorBidi" w:hAnsiTheme="majorBidi" w:cstheme="majorBidi"/>
        </w:rPr>
        <w:t>added</w:t>
      </w:r>
      <w:r w:rsidR="00365181" w:rsidRPr="00950C34">
        <w:rPr>
          <w:rFonts w:asciiTheme="majorBidi" w:hAnsiTheme="majorBidi" w:cstheme="majorBidi"/>
        </w:rPr>
        <w:t xml:space="preserve"> that some </w:t>
      </w:r>
      <w:r w:rsidR="00A14F7E" w:rsidRPr="00950C34">
        <w:rPr>
          <w:rFonts w:asciiTheme="majorBidi" w:hAnsiTheme="majorBidi" w:cstheme="majorBidi"/>
        </w:rPr>
        <w:t>less developed</w:t>
      </w:r>
      <w:r w:rsidR="00365181" w:rsidRPr="00950C34">
        <w:rPr>
          <w:rFonts w:asciiTheme="majorBidi" w:hAnsiTheme="majorBidi" w:cstheme="majorBidi"/>
        </w:rPr>
        <w:t xml:space="preserve"> countries </w:t>
      </w:r>
      <w:r w:rsidR="00A14F7E" w:rsidRPr="00950C34">
        <w:rPr>
          <w:rFonts w:asciiTheme="majorBidi" w:hAnsiTheme="majorBidi" w:cstheme="majorBidi"/>
        </w:rPr>
        <w:t>endanger to</w:t>
      </w:r>
      <w:r w:rsidR="00365181" w:rsidRPr="00950C34">
        <w:rPr>
          <w:rFonts w:asciiTheme="majorBidi" w:hAnsiTheme="majorBidi" w:cstheme="majorBidi"/>
        </w:rPr>
        <w:t xml:space="preserve"> fall into a poverty trap </w:t>
      </w:r>
      <w:r w:rsidR="00DA7E85" w:rsidRPr="00950C34">
        <w:rPr>
          <w:rFonts w:asciiTheme="majorBidi" w:hAnsiTheme="majorBidi" w:cstheme="majorBidi"/>
        </w:rPr>
        <w:t>in the case that</w:t>
      </w:r>
      <w:r w:rsidR="00365181" w:rsidRPr="00950C34">
        <w:rPr>
          <w:rFonts w:asciiTheme="majorBidi" w:hAnsiTheme="majorBidi" w:cstheme="majorBidi"/>
        </w:rPr>
        <w:t xml:space="preserve"> IC</w:t>
      </w:r>
      <w:r w:rsidR="002D4878" w:rsidRPr="00950C34">
        <w:rPr>
          <w:rFonts w:asciiTheme="majorBidi" w:hAnsiTheme="majorBidi" w:cstheme="majorBidi"/>
        </w:rPr>
        <w:t>T threshold</w:t>
      </w:r>
      <w:r w:rsidR="00B507BC" w:rsidRPr="00950C34">
        <w:rPr>
          <w:rFonts w:asciiTheme="majorBidi" w:hAnsiTheme="majorBidi" w:cstheme="majorBidi"/>
        </w:rPr>
        <w:t xml:space="preserve"> effects </w:t>
      </w:r>
      <w:r w:rsidR="00DA7E85" w:rsidRPr="00950C34">
        <w:rPr>
          <w:rFonts w:asciiTheme="majorBidi" w:hAnsiTheme="majorBidi" w:cstheme="majorBidi"/>
        </w:rPr>
        <w:t>come true</w:t>
      </w:r>
      <w:r w:rsidR="00B507BC" w:rsidRPr="00950C34">
        <w:rPr>
          <w:rFonts w:asciiTheme="majorBidi" w:hAnsiTheme="majorBidi" w:cstheme="majorBidi"/>
        </w:rPr>
        <w:t xml:space="preserve">, </w:t>
      </w:r>
      <w:r w:rsidR="00DA7E85" w:rsidRPr="00950C34">
        <w:rPr>
          <w:rFonts w:asciiTheme="majorBidi" w:hAnsiTheme="majorBidi" w:cstheme="majorBidi"/>
        </w:rPr>
        <w:t>t</w:t>
      </w:r>
      <w:r w:rsidR="00B507BC" w:rsidRPr="00950C34">
        <w:rPr>
          <w:rFonts w:asciiTheme="majorBidi" w:hAnsiTheme="majorBidi" w:cstheme="majorBidi"/>
        </w:rPr>
        <w:t>hat is,</w:t>
      </w:r>
      <w:r w:rsidR="00365181" w:rsidRPr="00950C34">
        <w:rPr>
          <w:rFonts w:asciiTheme="majorBidi" w:hAnsiTheme="majorBidi" w:cstheme="majorBidi"/>
        </w:rPr>
        <w:t xml:space="preserve"> </w:t>
      </w:r>
      <w:r w:rsidR="00DA7E85" w:rsidRPr="00950C34">
        <w:rPr>
          <w:rFonts w:asciiTheme="majorBidi" w:hAnsiTheme="majorBidi" w:cstheme="majorBidi"/>
        </w:rPr>
        <w:t>if development of ICT is related to the income level and if income growth is affected by a threshold of ICT capital, then low income countries less likely benefit from opportunities provided by ICT development.</w:t>
      </w:r>
    </w:p>
    <w:p w:rsidR="005C29B1" w:rsidRDefault="005264E8" w:rsidP="00F33BC8">
      <w:pPr>
        <w:spacing w:after="0" w:line="240" w:lineRule="auto"/>
        <w:rPr>
          <w:rFonts w:asciiTheme="majorBidi" w:hAnsiTheme="majorBidi" w:cstheme="majorBidi"/>
        </w:rPr>
      </w:pPr>
      <w:r w:rsidRPr="00950C34">
        <w:rPr>
          <w:rFonts w:asciiTheme="majorBidi" w:hAnsiTheme="majorBidi" w:cstheme="majorBidi"/>
        </w:rPr>
        <w:t>By reviewing the abovementioned</w:t>
      </w:r>
      <w:r w:rsidR="00955B8E" w:rsidRPr="00950C34">
        <w:rPr>
          <w:rFonts w:asciiTheme="majorBidi" w:hAnsiTheme="majorBidi" w:cstheme="majorBidi"/>
        </w:rPr>
        <w:t xml:space="preserve"> literature</w:t>
      </w:r>
      <w:r w:rsidR="008B6AC7" w:rsidRPr="00950C34">
        <w:rPr>
          <w:rFonts w:asciiTheme="majorBidi" w:hAnsiTheme="majorBidi" w:cstheme="majorBidi"/>
        </w:rPr>
        <w:t xml:space="preserve"> it can be concluded that 1- </w:t>
      </w:r>
      <w:r w:rsidR="00FC15BF" w:rsidRPr="00950C34">
        <w:rPr>
          <w:rFonts w:asciiTheme="majorBidi" w:hAnsiTheme="majorBidi" w:cstheme="majorBidi"/>
        </w:rPr>
        <w:t>ICT contribution gap is evident among countries.</w:t>
      </w:r>
      <w:r w:rsidR="00622E75" w:rsidRPr="00950C34">
        <w:rPr>
          <w:rFonts w:asciiTheme="majorBidi" w:hAnsiTheme="majorBidi" w:cstheme="majorBidi"/>
        </w:rPr>
        <w:t xml:space="preserve"> ICT contribution to economic growth and total productivity growth in t</w:t>
      </w:r>
      <w:r w:rsidR="00955B8E" w:rsidRPr="00950C34">
        <w:rPr>
          <w:rFonts w:asciiTheme="majorBidi" w:hAnsiTheme="majorBidi" w:cstheme="majorBidi"/>
        </w:rPr>
        <w:t>he</w:t>
      </w:r>
      <w:r w:rsidR="00622E75" w:rsidRPr="00950C34">
        <w:rPr>
          <w:rFonts w:asciiTheme="majorBidi" w:hAnsiTheme="majorBidi" w:cstheme="majorBidi"/>
        </w:rPr>
        <w:t xml:space="preserve"> US and Canada is more than other countries while i</w:t>
      </w:r>
      <w:r w:rsidR="009A5A75" w:rsidRPr="00950C34">
        <w:rPr>
          <w:rFonts w:asciiTheme="majorBidi" w:hAnsiTheme="majorBidi" w:cstheme="majorBidi"/>
        </w:rPr>
        <w:t xml:space="preserve">n Europe, </w:t>
      </w:r>
      <w:r w:rsidR="00622E75" w:rsidRPr="00950C34">
        <w:rPr>
          <w:rFonts w:asciiTheme="majorBidi" w:hAnsiTheme="majorBidi" w:cstheme="majorBidi"/>
        </w:rPr>
        <w:t>it</w:t>
      </w:r>
      <w:r w:rsidR="009A5A75" w:rsidRPr="00950C34">
        <w:rPr>
          <w:rFonts w:asciiTheme="majorBidi" w:hAnsiTheme="majorBidi" w:cstheme="majorBidi"/>
        </w:rPr>
        <w:t xml:space="preserve"> has been more sporadic. In other regions except new industry countries in South East Asian</w:t>
      </w:r>
      <w:r w:rsidR="00622E75" w:rsidRPr="00950C34">
        <w:rPr>
          <w:rFonts w:asciiTheme="majorBidi" w:hAnsiTheme="majorBidi" w:cstheme="majorBidi"/>
        </w:rPr>
        <w:t>, apparently</w:t>
      </w:r>
      <w:r w:rsidR="009A5A75" w:rsidRPr="00950C34">
        <w:rPr>
          <w:rFonts w:asciiTheme="majorBidi" w:hAnsiTheme="majorBidi" w:cstheme="majorBidi"/>
        </w:rPr>
        <w:t xml:space="preserve"> other developing countries were</w:t>
      </w:r>
      <w:r w:rsidR="00622E75" w:rsidRPr="00950C34">
        <w:rPr>
          <w:rFonts w:asciiTheme="majorBidi" w:hAnsiTheme="majorBidi" w:cstheme="majorBidi"/>
        </w:rPr>
        <w:t xml:space="preserve"> not</w:t>
      </w:r>
      <w:r w:rsidR="009A5A75" w:rsidRPr="00950C34">
        <w:rPr>
          <w:rFonts w:asciiTheme="majorBidi" w:hAnsiTheme="majorBidi" w:cstheme="majorBidi"/>
        </w:rPr>
        <w:t xml:space="preserve"> able to take advantage of ICT in order to </w:t>
      </w:r>
      <w:r w:rsidR="00622E75" w:rsidRPr="00950C34">
        <w:rPr>
          <w:rFonts w:asciiTheme="majorBidi" w:hAnsiTheme="majorBidi" w:cstheme="majorBidi"/>
        </w:rPr>
        <w:t>speed up the</w:t>
      </w:r>
      <w:r w:rsidR="009A5A75" w:rsidRPr="00950C34">
        <w:rPr>
          <w:rFonts w:asciiTheme="majorBidi" w:hAnsiTheme="majorBidi" w:cstheme="majorBidi"/>
        </w:rPr>
        <w:t xml:space="preserve"> rate of </w:t>
      </w:r>
      <w:r w:rsidR="00622E75" w:rsidRPr="00950C34">
        <w:rPr>
          <w:rFonts w:asciiTheme="majorBidi" w:hAnsiTheme="majorBidi" w:cstheme="majorBidi"/>
        </w:rPr>
        <w:t xml:space="preserve">output </w:t>
      </w:r>
      <w:r w:rsidR="009A5A75" w:rsidRPr="00950C34">
        <w:rPr>
          <w:rFonts w:asciiTheme="majorBidi" w:hAnsiTheme="majorBidi" w:cstheme="majorBidi"/>
        </w:rPr>
        <w:t>growth and productivity</w:t>
      </w:r>
      <w:r w:rsidR="00622E75" w:rsidRPr="00950C34">
        <w:rPr>
          <w:rFonts w:asciiTheme="majorBidi" w:hAnsiTheme="majorBidi" w:cstheme="majorBidi"/>
        </w:rPr>
        <w:t xml:space="preserve"> in their countries</w:t>
      </w:r>
      <w:r w:rsidR="009A5A75" w:rsidRPr="00950C34">
        <w:rPr>
          <w:rFonts w:asciiTheme="majorBidi" w:hAnsiTheme="majorBidi" w:cstheme="majorBidi"/>
        </w:rPr>
        <w:t>.</w:t>
      </w:r>
      <w:r w:rsidR="002A1A08" w:rsidRPr="00950C34">
        <w:rPr>
          <w:rFonts w:asciiTheme="majorBidi" w:hAnsiTheme="majorBidi" w:cstheme="majorBidi"/>
        </w:rPr>
        <w:t xml:space="preserve"> </w:t>
      </w:r>
      <w:r w:rsidR="008B6AC7" w:rsidRPr="00950C34">
        <w:rPr>
          <w:rFonts w:asciiTheme="majorBidi" w:hAnsiTheme="majorBidi" w:cstheme="majorBidi"/>
        </w:rPr>
        <w:t>2-</w:t>
      </w:r>
      <w:r w:rsidR="00D47DD1" w:rsidRPr="00950C34">
        <w:rPr>
          <w:rFonts w:asciiTheme="majorBidi" w:hAnsiTheme="majorBidi" w:cstheme="majorBidi"/>
        </w:rPr>
        <w:t xml:space="preserve"> </w:t>
      </w:r>
      <w:r w:rsidR="008B6AC7" w:rsidRPr="00950C34">
        <w:rPr>
          <w:rFonts w:asciiTheme="majorBidi" w:hAnsiTheme="majorBidi" w:cstheme="majorBidi"/>
        </w:rPr>
        <w:t>In</w:t>
      </w:r>
      <w:r w:rsidR="00D47DD1" w:rsidRPr="00950C34">
        <w:rPr>
          <w:rFonts w:asciiTheme="majorBidi" w:hAnsiTheme="majorBidi" w:cstheme="majorBidi"/>
        </w:rPr>
        <w:t xml:space="preserve"> spite of the general view of</w:t>
      </w:r>
      <w:r w:rsidR="00EB09FE" w:rsidRPr="00950C34">
        <w:rPr>
          <w:rFonts w:asciiTheme="majorBidi" w:hAnsiTheme="majorBidi" w:cstheme="majorBidi"/>
        </w:rPr>
        <w:t xml:space="preserve"> </w:t>
      </w:r>
      <w:r w:rsidR="00D47DD1" w:rsidRPr="00950C34">
        <w:rPr>
          <w:rFonts w:asciiTheme="majorBidi" w:hAnsiTheme="majorBidi" w:cstheme="majorBidi"/>
        </w:rPr>
        <w:t xml:space="preserve">ICT </w:t>
      </w:r>
      <w:r w:rsidR="00EB09FE" w:rsidRPr="00950C34">
        <w:rPr>
          <w:rFonts w:asciiTheme="majorBidi" w:hAnsiTheme="majorBidi" w:cstheme="majorBidi"/>
        </w:rPr>
        <w:t>contribution in developed economies</w:t>
      </w:r>
      <w:r w:rsidR="009A5A75" w:rsidRPr="00950C34">
        <w:rPr>
          <w:rFonts w:asciiTheme="majorBidi" w:hAnsiTheme="majorBidi" w:cstheme="majorBidi"/>
        </w:rPr>
        <w:t xml:space="preserve">, </w:t>
      </w:r>
      <w:r w:rsidR="00955B8E" w:rsidRPr="00950C34">
        <w:rPr>
          <w:rFonts w:asciiTheme="majorBidi" w:hAnsiTheme="majorBidi" w:cstheme="majorBidi"/>
        </w:rPr>
        <w:t>it</w:t>
      </w:r>
      <w:r w:rsidR="003D129C" w:rsidRPr="00950C34">
        <w:rPr>
          <w:rFonts w:asciiTheme="majorBidi" w:hAnsiTheme="majorBidi" w:cstheme="majorBidi"/>
        </w:rPr>
        <w:t xml:space="preserve"> is expected</w:t>
      </w:r>
      <w:r w:rsidR="00923B09" w:rsidRPr="00950C34">
        <w:rPr>
          <w:rFonts w:asciiTheme="majorBidi" w:hAnsiTheme="majorBidi" w:cstheme="majorBidi"/>
        </w:rPr>
        <w:t xml:space="preserve"> t</w:t>
      </w:r>
      <w:r w:rsidR="00F74CC1" w:rsidRPr="00950C34">
        <w:rPr>
          <w:rFonts w:asciiTheme="majorBidi" w:hAnsiTheme="majorBidi" w:cstheme="majorBidi"/>
        </w:rPr>
        <w:t xml:space="preserve">o observe </w:t>
      </w:r>
      <w:r w:rsidR="003D129C" w:rsidRPr="00950C34">
        <w:rPr>
          <w:rFonts w:asciiTheme="majorBidi" w:hAnsiTheme="majorBidi" w:cstheme="majorBidi"/>
        </w:rPr>
        <w:t>a lag between the investment in ICT and</w:t>
      </w:r>
      <w:r w:rsidR="00923B09" w:rsidRPr="00950C34">
        <w:rPr>
          <w:rFonts w:asciiTheme="majorBidi" w:hAnsiTheme="majorBidi" w:cstheme="majorBidi"/>
        </w:rPr>
        <w:t xml:space="preserve"> its impact on </w:t>
      </w:r>
      <w:r w:rsidR="00F74CC1" w:rsidRPr="00950C34">
        <w:rPr>
          <w:rFonts w:asciiTheme="majorBidi" w:hAnsiTheme="majorBidi" w:cstheme="majorBidi"/>
        </w:rPr>
        <w:t xml:space="preserve">the </w:t>
      </w:r>
      <w:r w:rsidR="00923B09" w:rsidRPr="00950C34">
        <w:rPr>
          <w:rFonts w:asciiTheme="majorBidi" w:hAnsiTheme="majorBidi" w:cstheme="majorBidi"/>
        </w:rPr>
        <w:t>whole economy</w:t>
      </w:r>
      <w:r w:rsidR="00F74CC1" w:rsidRPr="00950C34">
        <w:rPr>
          <w:rFonts w:asciiTheme="majorBidi" w:hAnsiTheme="majorBidi" w:cstheme="majorBidi"/>
        </w:rPr>
        <w:t>, in other word</w:t>
      </w:r>
      <w:r w:rsidR="003D129C" w:rsidRPr="00950C34">
        <w:rPr>
          <w:rFonts w:asciiTheme="majorBidi" w:hAnsiTheme="majorBidi" w:cstheme="majorBidi"/>
        </w:rPr>
        <w:t xml:space="preserve">, the </w:t>
      </w:r>
      <w:r w:rsidR="00F74CC1" w:rsidRPr="00950C34">
        <w:rPr>
          <w:rFonts w:asciiTheme="majorBidi" w:hAnsiTheme="majorBidi" w:cstheme="majorBidi"/>
        </w:rPr>
        <w:t xml:space="preserve">ICT </w:t>
      </w:r>
      <w:r w:rsidR="003D129C" w:rsidRPr="00950C34">
        <w:rPr>
          <w:rFonts w:asciiTheme="majorBidi" w:hAnsiTheme="majorBidi" w:cstheme="majorBidi"/>
        </w:rPr>
        <w:t xml:space="preserve">effect on </w:t>
      </w:r>
      <w:r w:rsidR="00F74CC1" w:rsidRPr="00950C34">
        <w:rPr>
          <w:rFonts w:asciiTheme="majorBidi" w:hAnsiTheme="majorBidi" w:cstheme="majorBidi"/>
        </w:rPr>
        <w:t xml:space="preserve">GDP or </w:t>
      </w:r>
      <w:r w:rsidR="003D129C" w:rsidRPr="00950C34">
        <w:rPr>
          <w:rFonts w:asciiTheme="majorBidi" w:hAnsiTheme="majorBidi" w:cstheme="majorBidi"/>
        </w:rPr>
        <w:t xml:space="preserve">productivity </w:t>
      </w:r>
      <w:r w:rsidR="009A5A75" w:rsidRPr="00950C34">
        <w:rPr>
          <w:rFonts w:asciiTheme="majorBidi" w:hAnsiTheme="majorBidi" w:cstheme="majorBidi"/>
        </w:rPr>
        <w:t>take</w:t>
      </w:r>
      <w:r w:rsidR="00A71BBB" w:rsidRPr="00950C34">
        <w:rPr>
          <w:rFonts w:asciiTheme="majorBidi" w:hAnsiTheme="majorBidi" w:cstheme="majorBidi"/>
        </w:rPr>
        <w:t>s</w:t>
      </w:r>
      <w:r w:rsidR="009A5A75" w:rsidRPr="00950C34">
        <w:rPr>
          <w:rFonts w:asciiTheme="majorBidi" w:hAnsiTheme="majorBidi" w:cstheme="majorBidi"/>
        </w:rPr>
        <w:t xml:space="preserve"> a long time to become visible.</w:t>
      </w:r>
      <w:r w:rsidR="002A1A08" w:rsidRPr="00950C34">
        <w:rPr>
          <w:rFonts w:asciiTheme="majorBidi" w:hAnsiTheme="majorBidi" w:cstheme="majorBidi"/>
        </w:rPr>
        <w:t xml:space="preserve"> </w:t>
      </w:r>
      <w:r w:rsidR="008B6AC7" w:rsidRPr="00950C34">
        <w:rPr>
          <w:rFonts w:asciiTheme="majorBidi" w:hAnsiTheme="majorBidi" w:cstheme="majorBidi"/>
        </w:rPr>
        <w:t xml:space="preserve">3- </w:t>
      </w:r>
      <w:r w:rsidR="00756230" w:rsidRPr="00950C34">
        <w:rPr>
          <w:rFonts w:asciiTheme="majorBidi" w:hAnsiTheme="majorBidi" w:cstheme="majorBidi"/>
        </w:rPr>
        <w:t xml:space="preserve">Additionally, </w:t>
      </w:r>
      <w:r w:rsidR="009A5A75" w:rsidRPr="00950C34">
        <w:rPr>
          <w:rFonts w:asciiTheme="majorBidi" w:hAnsiTheme="majorBidi" w:cstheme="majorBidi"/>
        </w:rPr>
        <w:t xml:space="preserve">some </w:t>
      </w:r>
      <w:r w:rsidR="00756230" w:rsidRPr="00950C34">
        <w:rPr>
          <w:rFonts w:asciiTheme="majorBidi" w:hAnsiTheme="majorBidi" w:cstheme="majorBidi"/>
        </w:rPr>
        <w:t>studies</w:t>
      </w:r>
      <w:r w:rsidR="009A5A75" w:rsidRPr="00950C34">
        <w:rPr>
          <w:rFonts w:asciiTheme="majorBidi" w:hAnsiTheme="majorBidi" w:cstheme="majorBidi"/>
        </w:rPr>
        <w:t xml:space="preserve"> find that the </w:t>
      </w:r>
      <w:r w:rsidR="00756230" w:rsidRPr="00950C34">
        <w:rPr>
          <w:rFonts w:asciiTheme="majorBidi" w:hAnsiTheme="majorBidi" w:cstheme="majorBidi"/>
        </w:rPr>
        <w:t xml:space="preserve">most </w:t>
      </w:r>
      <w:r w:rsidR="009A5A75" w:rsidRPr="00950C34">
        <w:rPr>
          <w:rFonts w:asciiTheme="majorBidi" w:hAnsiTheme="majorBidi" w:cstheme="majorBidi"/>
        </w:rPr>
        <w:t xml:space="preserve">positive impact of ICT on growth is not as straightforward as </w:t>
      </w:r>
      <w:r w:rsidR="00756230" w:rsidRPr="00950C34">
        <w:rPr>
          <w:rFonts w:asciiTheme="majorBidi" w:hAnsiTheme="majorBidi" w:cstheme="majorBidi"/>
        </w:rPr>
        <w:t>it seems, since, it is reported that the effect of ICT using on other industries (capital deepening) is more effective than ICT production itself. However,</w:t>
      </w:r>
      <w:r w:rsidR="00A82DA7" w:rsidRPr="00950C34">
        <w:rPr>
          <w:rFonts w:asciiTheme="majorBidi" w:hAnsiTheme="majorBidi" w:cstheme="majorBidi"/>
        </w:rPr>
        <w:t xml:space="preserve"> the length of lag and spillovers to occur is not clear. </w:t>
      </w:r>
      <w:r w:rsidR="008B6AC7" w:rsidRPr="00950C34">
        <w:rPr>
          <w:rFonts w:asciiTheme="majorBidi" w:hAnsiTheme="majorBidi" w:cstheme="majorBidi"/>
        </w:rPr>
        <w:t xml:space="preserve">4- </w:t>
      </w:r>
      <w:r w:rsidR="00A82DA7" w:rsidRPr="00950C34">
        <w:rPr>
          <w:rFonts w:asciiTheme="majorBidi" w:hAnsiTheme="majorBidi" w:cstheme="majorBidi"/>
        </w:rPr>
        <w:t>The</w:t>
      </w:r>
      <w:r w:rsidR="005C29B1" w:rsidRPr="00950C34">
        <w:rPr>
          <w:rFonts w:asciiTheme="majorBidi" w:hAnsiTheme="majorBidi" w:cstheme="majorBidi"/>
        </w:rPr>
        <w:t xml:space="preserve"> </w:t>
      </w:r>
      <w:r w:rsidR="00A82DA7" w:rsidRPr="00950C34">
        <w:rPr>
          <w:rFonts w:asciiTheme="majorBidi" w:hAnsiTheme="majorBidi" w:cstheme="majorBidi"/>
        </w:rPr>
        <w:t>contribution of ICT</w:t>
      </w:r>
      <w:r w:rsidR="005C29B1" w:rsidRPr="00950C34">
        <w:rPr>
          <w:rFonts w:asciiTheme="majorBidi" w:hAnsiTheme="majorBidi" w:cstheme="majorBidi"/>
        </w:rPr>
        <w:t xml:space="preserve"> is </w:t>
      </w:r>
      <w:r w:rsidR="002D71E3" w:rsidRPr="00950C34">
        <w:rPr>
          <w:rFonts w:asciiTheme="majorBidi" w:hAnsiTheme="majorBidi" w:cstheme="majorBidi"/>
        </w:rPr>
        <w:t>visible</w:t>
      </w:r>
      <w:r w:rsidR="005C29B1" w:rsidRPr="00950C34">
        <w:rPr>
          <w:rFonts w:asciiTheme="majorBidi" w:hAnsiTheme="majorBidi" w:cstheme="majorBidi"/>
        </w:rPr>
        <w:t xml:space="preserve"> when a significant threshold </w:t>
      </w:r>
      <w:r w:rsidR="00F6341B" w:rsidRPr="00950C34">
        <w:rPr>
          <w:rFonts w:asciiTheme="majorBidi" w:hAnsiTheme="majorBidi" w:cstheme="majorBidi"/>
        </w:rPr>
        <w:t>ICT capital</w:t>
      </w:r>
      <w:r w:rsidR="002D71E3" w:rsidRPr="00950C34">
        <w:rPr>
          <w:rFonts w:asciiTheme="majorBidi" w:hAnsiTheme="majorBidi" w:cstheme="majorBidi"/>
        </w:rPr>
        <w:t xml:space="preserve"> </w:t>
      </w:r>
      <w:r w:rsidR="008B6AC7" w:rsidRPr="00950C34">
        <w:rPr>
          <w:rFonts w:asciiTheme="majorBidi" w:hAnsiTheme="majorBidi" w:cstheme="majorBidi"/>
        </w:rPr>
        <w:t xml:space="preserve">is achieved. </w:t>
      </w:r>
      <w:r w:rsidR="00A82DA7" w:rsidRPr="00950C34">
        <w:rPr>
          <w:rFonts w:asciiTheme="majorBidi" w:hAnsiTheme="majorBidi" w:cstheme="majorBidi"/>
        </w:rPr>
        <w:t>The various results</w:t>
      </w:r>
      <w:r w:rsidR="001736C6" w:rsidRPr="00950C34">
        <w:rPr>
          <w:rFonts w:asciiTheme="majorBidi" w:hAnsiTheme="majorBidi" w:cstheme="majorBidi"/>
        </w:rPr>
        <w:t xml:space="preserve"> from </w:t>
      </w:r>
      <w:r w:rsidR="00A82DA7" w:rsidRPr="00950C34">
        <w:rPr>
          <w:rFonts w:asciiTheme="majorBidi" w:hAnsiTheme="majorBidi" w:cstheme="majorBidi"/>
        </w:rPr>
        <w:t>different countries and regions</w:t>
      </w:r>
      <w:r w:rsidR="001736C6" w:rsidRPr="00950C34">
        <w:rPr>
          <w:rFonts w:asciiTheme="majorBidi" w:hAnsiTheme="majorBidi" w:cstheme="majorBidi"/>
        </w:rPr>
        <w:t xml:space="preserve"> keep fresh the debate</w:t>
      </w:r>
      <w:r w:rsidR="00A82DA7" w:rsidRPr="00950C34">
        <w:rPr>
          <w:rFonts w:asciiTheme="majorBidi" w:hAnsiTheme="majorBidi" w:cstheme="majorBidi"/>
        </w:rPr>
        <w:t xml:space="preserve"> </w:t>
      </w:r>
      <w:r w:rsidR="001736C6" w:rsidRPr="00950C34">
        <w:rPr>
          <w:rFonts w:asciiTheme="majorBidi" w:hAnsiTheme="majorBidi" w:cstheme="majorBidi"/>
        </w:rPr>
        <w:t>about</w:t>
      </w:r>
      <w:r w:rsidR="00A82DA7" w:rsidRPr="00950C34">
        <w:rPr>
          <w:rFonts w:asciiTheme="majorBidi" w:hAnsiTheme="majorBidi" w:cstheme="majorBidi"/>
        </w:rPr>
        <w:t xml:space="preserve"> how </w:t>
      </w:r>
      <w:r w:rsidR="001736C6" w:rsidRPr="00950C34">
        <w:rPr>
          <w:rFonts w:asciiTheme="majorBidi" w:hAnsiTheme="majorBidi" w:cstheme="majorBidi"/>
        </w:rPr>
        <w:t xml:space="preserve">is the contribution of ICT </w:t>
      </w:r>
      <w:r w:rsidR="00A82DA7" w:rsidRPr="00950C34">
        <w:rPr>
          <w:rFonts w:asciiTheme="majorBidi" w:hAnsiTheme="majorBidi" w:cstheme="majorBidi"/>
        </w:rPr>
        <w:t>on economic growth (Qiang, Pitt &amp; Ayers, 2003).</w:t>
      </w:r>
      <w:r w:rsidR="008B6AC7" w:rsidRPr="00950C34">
        <w:rPr>
          <w:rFonts w:asciiTheme="majorBidi" w:hAnsiTheme="majorBidi" w:cstheme="majorBidi"/>
        </w:rPr>
        <w:t xml:space="preserve"> </w:t>
      </w:r>
    </w:p>
    <w:p w:rsidR="00CE4963" w:rsidRPr="00CE4963" w:rsidRDefault="00CE4963" w:rsidP="00F33BC8">
      <w:pPr>
        <w:spacing w:after="0" w:line="240" w:lineRule="auto"/>
        <w:rPr>
          <w:rFonts w:asciiTheme="majorBidi" w:hAnsiTheme="majorBidi" w:cstheme="majorBidi"/>
        </w:rPr>
      </w:pPr>
    </w:p>
    <w:p w:rsidR="00CE4963" w:rsidRPr="00CE4963" w:rsidRDefault="00CE4963" w:rsidP="00F33BC8">
      <w:pPr>
        <w:spacing w:after="0" w:line="240" w:lineRule="auto"/>
        <w:rPr>
          <w:rFonts w:asciiTheme="majorBidi" w:hAnsiTheme="majorBidi" w:cstheme="majorBidi"/>
        </w:rPr>
      </w:pPr>
    </w:p>
    <w:p w:rsidR="00FE36C0" w:rsidRPr="00950C34" w:rsidRDefault="00CE4963" w:rsidP="00F33BC8">
      <w:pPr>
        <w:spacing w:after="0" w:line="240" w:lineRule="auto"/>
        <w:outlineLvl w:val="0"/>
        <w:rPr>
          <w:rFonts w:asciiTheme="majorBidi" w:hAnsiTheme="majorBidi" w:cstheme="majorBidi"/>
          <w:b/>
          <w:bCs/>
          <w:sz w:val="24"/>
          <w:szCs w:val="24"/>
        </w:rPr>
      </w:pPr>
      <w:r>
        <w:rPr>
          <w:rFonts w:asciiTheme="majorBidi" w:hAnsiTheme="majorBidi" w:cstheme="majorBidi"/>
          <w:b/>
          <w:bCs/>
          <w:sz w:val="24"/>
          <w:szCs w:val="24"/>
        </w:rPr>
        <w:t xml:space="preserve">(2.2) </w:t>
      </w:r>
      <w:r w:rsidR="002F6E0A" w:rsidRPr="00950C34">
        <w:rPr>
          <w:rFonts w:asciiTheme="majorBidi" w:hAnsiTheme="majorBidi" w:cstheme="majorBidi"/>
          <w:b/>
          <w:bCs/>
          <w:sz w:val="24"/>
          <w:szCs w:val="24"/>
        </w:rPr>
        <w:t>Causal analysis studies on ICT development and economic growth</w:t>
      </w:r>
    </w:p>
    <w:p w:rsidR="00E131D4" w:rsidRPr="00950C34" w:rsidRDefault="00F373BE" w:rsidP="00F33BC8">
      <w:pPr>
        <w:spacing w:after="0" w:line="240" w:lineRule="auto"/>
        <w:rPr>
          <w:rFonts w:asciiTheme="majorBidi" w:hAnsiTheme="majorBidi" w:cstheme="majorBidi"/>
        </w:rPr>
      </w:pPr>
      <w:r w:rsidRPr="00950C34">
        <w:rPr>
          <w:rFonts w:asciiTheme="majorBidi" w:hAnsiTheme="majorBidi" w:cstheme="majorBidi"/>
        </w:rPr>
        <w:t>Pervious</w:t>
      </w:r>
      <w:r w:rsidR="00774944" w:rsidRPr="00950C34">
        <w:rPr>
          <w:rFonts w:asciiTheme="majorBidi" w:hAnsiTheme="majorBidi" w:cstheme="majorBidi"/>
        </w:rPr>
        <w:t xml:space="preserve"> part of literature </w:t>
      </w:r>
      <w:r w:rsidR="000A40D2" w:rsidRPr="00950C34">
        <w:rPr>
          <w:rFonts w:asciiTheme="majorBidi" w:hAnsiTheme="majorBidi" w:cstheme="majorBidi"/>
        </w:rPr>
        <w:t>reviewed</w:t>
      </w:r>
      <w:r w:rsidR="00774944" w:rsidRPr="00950C34">
        <w:rPr>
          <w:rFonts w:asciiTheme="majorBidi" w:hAnsiTheme="majorBidi" w:cstheme="majorBidi"/>
        </w:rPr>
        <w:t xml:space="preserve"> the relationship between telecommunications and economic growth </w:t>
      </w:r>
      <w:r w:rsidR="000A40D2" w:rsidRPr="00950C34">
        <w:rPr>
          <w:rFonts w:asciiTheme="majorBidi" w:hAnsiTheme="majorBidi" w:cstheme="majorBidi"/>
        </w:rPr>
        <w:t>exclusive of</w:t>
      </w:r>
      <w:r w:rsidR="00774944" w:rsidRPr="00950C34">
        <w:rPr>
          <w:rFonts w:asciiTheme="majorBidi" w:hAnsiTheme="majorBidi" w:cstheme="majorBidi"/>
        </w:rPr>
        <w:t xml:space="preserve"> </w:t>
      </w:r>
      <w:r w:rsidR="000A40D2" w:rsidRPr="00950C34">
        <w:rPr>
          <w:rFonts w:asciiTheme="majorBidi" w:hAnsiTheme="majorBidi" w:cstheme="majorBidi"/>
        </w:rPr>
        <w:t>considering</w:t>
      </w:r>
      <w:r w:rsidR="00774944" w:rsidRPr="00950C34">
        <w:rPr>
          <w:rFonts w:asciiTheme="majorBidi" w:hAnsiTheme="majorBidi" w:cstheme="majorBidi"/>
        </w:rPr>
        <w:t xml:space="preserve"> the direction of causality. </w:t>
      </w:r>
      <w:r w:rsidR="000A40D2" w:rsidRPr="00950C34">
        <w:rPr>
          <w:rFonts w:asciiTheme="majorBidi" w:hAnsiTheme="majorBidi" w:cstheme="majorBidi"/>
        </w:rPr>
        <w:t>Actually, causality studies target</w:t>
      </w:r>
      <w:r w:rsidR="001562CB" w:rsidRPr="00950C34">
        <w:rPr>
          <w:rFonts w:asciiTheme="majorBidi" w:hAnsiTheme="majorBidi" w:cstheme="majorBidi"/>
        </w:rPr>
        <w:t xml:space="preserve"> the link between ICT</w:t>
      </w:r>
      <w:r w:rsidR="000A40D2" w:rsidRPr="00950C34">
        <w:rPr>
          <w:rFonts w:asciiTheme="majorBidi" w:hAnsiTheme="majorBidi" w:cstheme="majorBidi"/>
        </w:rPr>
        <w:t xml:space="preserve"> development</w:t>
      </w:r>
      <w:r w:rsidR="001562CB" w:rsidRPr="00950C34">
        <w:rPr>
          <w:rFonts w:asciiTheme="majorBidi" w:hAnsiTheme="majorBidi" w:cstheme="majorBidi"/>
        </w:rPr>
        <w:t xml:space="preserve"> and economic growth by </w:t>
      </w:r>
      <w:r w:rsidR="000A40D2" w:rsidRPr="00950C34">
        <w:rPr>
          <w:rFonts w:asciiTheme="majorBidi" w:hAnsiTheme="majorBidi" w:cstheme="majorBidi"/>
        </w:rPr>
        <w:t>investigating</w:t>
      </w:r>
      <w:r w:rsidR="001562CB" w:rsidRPr="00950C34">
        <w:rPr>
          <w:rFonts w:asciiTheme="majorBidi" w:hAnsiTheme="majorBidi" w:cstheme="majorBidi"/>
        </w:rPr>
        <w:t xml:space="preserve"> the existence of causal relationships </w:t>
      </w:r>
      <w:r w:rsidR="000A40D2" w:rsidRPr="00950C34">
        <w:rPr>
          <w:rFonts w:asciiTheme="majorBidi" w:hAnsiTheme="majorBidi" w:cstheme="majorBidi"/>
        </w:rPr>
        <w:t>as well as</w:t>
      </w:r>
      <w:r w:rsidR="001562CB" w:rsidRPr="00950C34">
        <w:rPr>
          <w:rFonts w:asciiTheme="majorBidi" w:hAnsiTheme="majorBidi" w:cstheme="majorBidi"/>
        </w:rPr>
        <w:t xml:space="preserve"> the direction of causality.</w:t>
      </w:r>
      <w:r w:rsidR="00F10360" w:rsidRPr="00950C34">
        <w:rPr>
          <w:rFonts w:asciiTheme="majorBidi" w:hAnsiTheme="majorBidi" w:cstheme="majorBidi"/>
        </w:rPr>
        <w:t xml:space="preserve"> Moreover, </w:t>
      </w:r>
      <w:r w:rsidR="000A40D2" w:rsidRPr="00950C34">
        <w:rPr>
          <w:rFonts w:asciiTheme="majorBidi" w:hAnsiTheme="majorBidi" w:cstheme="majorBidi"/>
        </w:rPr>
        <w:t>the</w:t>
      </w:r>
      <w:r w:rsidR="00F10360" w:rsidRPr="00950C34">
        <w:rPr>
          <w:rFonts w:asciiTheme="majorBidi" w:hAnsiTheme="majorBidi" w:cstheme="majorBidi"/>
        </w:rPr>
        <w:t xml:space="preserve"> </w:t>
      </w:r>
      <w:r w:rsidR="00667F86" w:rsidRPr="00950C34">
        <w:rPr>
          <w:rFonts w:asciiTheme="majorBidi" w:hAnsiTheme="majorBidi" w:cstheme="majorBidi"/>
        </w:rPr>
        <w:t>importance</w:t>
      </w:r>
      <w:r w:rsidR="00F10360" w:rsidRPr="00950C34">
        <w:rPr>
          <w:rFonts w:asciiTheme="majorBidi" w:hAnsiTheme="majorBidi" w:cstheme="majorBidi"/>
        </w:rPr>
        <w:t xml:space="preserve"> of reverse causality </w:t>
      </w:r>
      <w:r w:rsidR="00667F86" w:rsidRPr="00950C34">
        <w:rPr>
          <w:rFonts w:asciiTheme="majorBidi" w:hAnsiTheme="majorBidi" w:cstheme="majorBidi"/>
        </w:rPr>
        <w:t>is due to the fact that there is a bilateral relationship between better communication system and higher income. That is, the better communication systems lead to higher</w:t>
      </w:r>
      <w:r w:rsidR="00F10360" w:rsidRPr="00950C34">
        <w:rPr>
          <w:rFonts w:asciiTheme="majorBidi" w:hAnsiTheme="majorBidi" w:cstheme="majorBidi"/>
        </w:rPr>
        <w:t xml:space="preserve"> incomes, and higher incomes in turn </w:t>
      </w:r>
      <w:r w:rsidR="00667F86" w:rsidRPr="00950C34">
        <w:rPr>
          <w:rFonts w:asciiTheme="majorBidi" w:hAnsiTheme="majorBidi" w:cstheme="majorBidi"/>
        </w:rPr>
        <w:t xml:space="preserve">may improve </w:t>
      </w:r>
      <w:r w:rsidR="00F10360" w:rsidRPr="00950C34">
        <w:rPr>
          <w:rFonts w:asciiTheme="majorBidi" w:hAnsiTheme="majorBidi" w:cstheme="majorBidi"/>
        </w:rPr>
        <w:t>communication systems.</w:t>
      </w:r>
    </w:p>
    <w:p w:rsidR="00E264C9" w:rsidRPr="00950C34" w:rsidRDefault="00F6737B" w:rsidP="00F33BC8">
      <w:pPr>
        <w:spacing w:after="0" w:line="240" w:lineRule="auto"/>
        <w:rPr>
          <w:rFonts w:asciiTheme="majorBidi" w:hAnsiTheme="majorBidi" w:cstheme="majorBidi"/>
        </w:rPr>
      </w:pPr>
      <w:r w:rsidRPr="00950C34">
        <w:rPr>
          <w:rFonts w:asciiTheme="majorBidi" w:hAnsiTheme="majorBidi" w:cstheme="majorBidi"/>
        </w:rPr>
        <w:t>Preliminary work on</w:t>
      </w:r>
      <w:r w:rsidR="008100C9" w:rsidRPr="00950C34">
        <w:rPr>
          <w:rFonts w:asciiTheme="majorBidi" w:hAnsiTheme="majorBidi" w:cstheme="majorBidi"/>
        </w:rPr>
        <w:t xml:space="preserve"> causality tests between ICT</w:t>
      </w:r>
      <w:r w:rsidR="00E264C9" w:rsidRPr="00950C34">
        <w:rPr>
          <w:rFonts w:asciiTheme="majorBidi" w:hAnsiTheme="majorBidi" w:cstheme="majorBidi"/>
        </w:rPr>
        <w:t xml:space="preserve"> development</w:t>
      </w:r>
      <w:r w:rsidR="008100C9" w:rsidRPr="00950C34">
        <w:rPr>
          <w:rFonts w:asciiTheme="majorBidi" w:hAnsiTheme="majorBidi" w:cstheme="majorBidi"/>
        </w:rPr>
        <w:t xml:space="preserve"> and economic growth</w:t>
      </w:r>
      <w:r w:rsidR="009D12E1" w:rsidRPr="00950C34">
        <w:rPr>
          <w:rFonts w:asciiTheme="majorBidi" w:hAnsiTheme="majorBidi" w:cstheme="majorBidi"/>
        </w:rPr>
        <w:t xml:space="preserve"> carried</w:t>
      </w:r>
      <w:r w:rsidR="009F5A0F" w:rsidRPr="00950C34">
        <w:rPr>
          <w:rFonts w:asciiTheme="majorBidi" w:hAnsiTheme="majorBidi" w:cstheme="majorBidi"/>
        </w:rPr>
        <w:t xml:space="preserve"> out by Cronin, Parker, Colleran, &amp; Gold (1993) that</w:t>
      </w:r>
      <w:r w:rsidRPr="00950C34">
        <w:rPr>
          <w:rFonts w:asciiTheme="majorBidi" w:hAnsiTheme="majorBidi" w:cstheme="majorBidi"/>
        </w:rPr>
        <w:t xml:space="preserve"> have </w:t>
      </w:r>
      <w:r w:rsidR="00CF1460" w:rsidRPr="00950C34">
        <w:rPr>
          <w:rFonts w:asciiTheme="majorBidi" w:hAnsiTheme="majorBidi" w:cstheme="majorBidi"/>
        </w:rPr>
        <w:t>reported a</w:t>
      </w:r>
      <w:r w:rsidRPr="00950C34">
        <w:rPr>
          <w:rFonts w:asciiTheme="majorBidi" w:hAnsiTheme="majorBidi" w:cstheme="majorBidi"/>
        </w:rPr>
        <w:t xml:space="preserve"> bidirectional causal relationship between </w:t>
      </w:r>
      <w:r w:rsidR="005E2D29" w:rsidRPr="00950C34">
        <w:rPr>
          <w:rFonts w:asciiTheme="majorBidi" w:hAnsiTheme="majorBidi" w:cstheme="majorBidi"/>
        </w:rPr>
        <w:t>them in the U.S.</w:t>
      </w:r>
      <w:r w:rsidRPr="00950C34">
        <w:rPr>
          <w:rFonts w:asciiTheme="majorBidi" w:hAnsiTheme="majorBidi" w:cstheme="majorBidi"/>
        </w:rPr>
        <w:t xml:space="preserve"> economy.</w:t>
      </w:r>
      <w:r w:rsidR="00574A66" w:rsidRPr="00950C34">
        <w:rPr>
          <w:rFonts w:asciiTheme="majorBidi" w:hAnsiTheme="majorBidi" w:cstheme="majorBidi"/>
        </w:rPr>
        <w:t xml:space="preserve"> Later studies </w:t>
      </w:r>
      <w:r w:rsidR="00E264C9" w:rsidRPr="00950C34">
        <w:rPr>
          <w:rFonts w:asciiTheme="majorBidi" w:hAnsiTheme="majorBidi" w:cstheme="majorBidi"/>
        </w:rPr>
        <w:t>also confirm</w:t>
      </w:r>
      <w:r w:rsidR="00574A66" w:rsidRPr="00950C34">
        <w:rPr>
          <w:rFonts w:asciiTheme="majorBidi" w:hAnsiTheme="majorBidi" w:cstheme="majorBidi"/>
        </w:rPr>
        <w:t>ed</w:t>
      </w:r>
      <w:r w:rsidR="000C75B1" w:rsidRPr="00950C34">
        <w:rPr>
          <w:rFonts w:asciiTheme="majorBidi" w:hAnsiTheme="majorBidi" w:cstheme="majorBidi"/>
        </w:rPr>
        <w:t xml:space="preserve"> this</w:t>
      </w:r>
      <w:r w:rsidR="00E264C9" w:rsidRPr="00950C34">
        <w:rPr>
          <w:rFonts w:asciiTheme="majorBidi" w:hAnsiTheme="majorBidi" w:cstheme="majorBidi"/>
        </w:rPr>
        <w:t xml:space="preserve"> </w:t>
      </w:r>
      <w:r w:rsidR="000C75B1" w:rsidRPr="00950C34">
        <w:rPr>
          <w:rFonts w:asciiTheme="majorBidi" w:hAnsiTheme="majorBidi" w:cstheme="majorBidi"/>
        </w:rPr>
        <w:t xml:space="preserve">bidirectional </w:t>
      </w:r>
      <w:r w:rsidR="00E264C9" w:rsidRPr="00950C34">
        <w:rPr>
          <w:rFonts w:asciiTheme="majorBidi" w:hAnsiTheme="majorBidi" w:cstheme="majorBidi"/>
        </w:rPr>
        <w:t xml:space="preserve">causal relationship </w:t>
      </w:r>
      <w:r w:rsidR="00574A66" w:rsidRPr="00950C34">
        <w:rPr>
          <w:rFonts w:asciiTheme="majorBidi" w:hAnsiTheme="majorBidi" w:cstheme="majorBidi"/>
        </w:rPr>
        <w:t>(</w:t>
      </w:r>
      <w:r w:rsidR="005E2D29" w:rsidRPr="00950C34">
        <w:rPr>
          <w:rFonts w:asciiTheme="majorBidi" w:hAnsiTheme="majorBidi" w:cstheme="majorBidi"/>
        </w:rPr>
        <w:t>Cronin, Parker, Colleran, &amp; Gold, 1993</w:t>
      </w:r>
      <w:r w:rsidR="00574A66" w:rsidRPr="00950C34">
        <w:rPr>
          <w:rFonts w:asciiTheme="majorBidi" w:hAnsiTheme="majorBidi" w:cstheme="majorBidi"/>
        </w:rPr>
        <w:t>, Wolde-Rufael, 2007)</w:t>
      </w:r>
      <w:r w:rsidR="005E2D29" w:rsidRPr="00950C34">
        <w:rPr>
          <w:rFonts w:asciiTheme="majorBidi" w:hAnsiTheme="majorBidi" w:cstheme="majorBidi"/>
        </w:rPr>
        <w:t>. In addition, another work suggested that investment in telecommunications infrastructure in U.S. is causally related to the nation's total factor productivity (Cronin, Colleran, Herbert, &amp; Lewitzky, 1993)</w:t>
      </w:r>
      <w:r w:rsidR="009D12E1" w:rsidRPr="00950C34">
        <w:rPr>
          <w:rFonts w:asciiTheme="majorBidi" w:hAnsiTheme="majorBidi" w:cstheme="majorBidi"/>
        </w:rPr>
        <w:t>.</w:t>
      </w:r>
    </w:p>
    <w:p w:rsidR="008413B7" w:rsidRPr="00950C34" w:rsidRDefault="000C75B1" w:rsidP="00F33BC8">
      <w:pPr>
        <w:spacing w:after="0" w:line="240" w:lineRule="auto"/>
        <w:rPr>
          <w:rFonts w:asciiTheme="majorBidi" w:hAnsiTheme="majorBidi" w:cstheme="majorBidi"/>
        </w:rPr>
      </w:pPr>
      <w:r w:rsidRPr="00950C34">
        <w:rPr>
          <w:rFonts w:asciiTheme="majorBidi" w:hAnsiTheme="majorBidi" w:cstheme="majorBidi"/>
        </w:rPr>
        <w:t xml:space="preserve">An earlier cross-country study (Madden &amp; Savage, 1998) on causality test also </w:t>
      </w:r>
      <w:r w:rsidR="009D12E1" w:rsidRPr="00950C34">
        <w:rPr>
          <w:rFonts w:asciiTheme="majorBidi" w:hAnsiTheme="majorBidi" w:cstheme="majorBidi"/>
        </w:rPr>
        <w:t>reported</w:t>
      </w:r>
      <w:r w:rsidRPr="00950C34">
        <w:rPr>
          <w:rFonts w:asciiTheme="majorBidi" w:hAnsiTheme="majorBidi" w:cstheme="majorBidi"/>
        </w:rPr>
        <w:t xml:space="preserve"> a bidirectional relationship between ICT development and economic growth in Central and Eastern Europe countries</w:t>
      </w:r>
      <w:r w:rsidR="00FE36C0" w:rsidRPr="00950C34">
        <w:rPr>
          <w:rFonts w:asciiTheme="majorBidi" w:hAnsiTheme="majorBidi" w:cstheme="majorBidi"/>
        </w:rPr>
        <w:t>.</w:t>
      </w:r>
      <w:r w:rsidRPr="00950C34">
        <w:rPr>
          <w:rFonts w:asciiTheme="majorBidi" w:hAnsiTheme="majorBidi" w:cstheme="majorBidi"/>
        </w:rPr>
        <w:t xml:space="preserve"> </w:t>
      </w:r>
      <w:r w:rsidR="004352CA" w:rsidRPr="00950C34">
        <w:rPr>
          <w:rFonts w:asciiTheme="majorBidi" w:hAnsiTheme="majorBidi" w:cstheme="majorBidi"/>
        </w:rPr>
        <w:t>I</w:t>
      </w:r>
      <w:r w:rsidRPr="00950C34">
        <w:rPr>
          <w:rFonts w:asciiTheme="majorBidi" w:hAnsiTheme="majorBidi" w:cstheme="majorBidi"/>
        </w:rPr>
        <w:t>n another major study</w:t>
      </w:r>
      <w:r w:rsidR="00973A7F" w:rsidRPr="00950C34">
        <w:rPr>
          <w:rFonts w:asciiTheme="majorBidi" w:hAnsiTheme="majorBidi" w:cstheme="majorBidi"/>
        </w:rPr>
        <w:t xml:space="preserve"> </w:t>
      </w:r>
      <w:r w:rsidRPr="00950C34">
        <w:rPr>
          <w:rFonts w:asciiTheme="majorBidi" w:hAnsiTheme="majorBidi" w:cstheme="majorBidi"/>
        </w:rPr>
        <w:t>on</w:t>
      </w:r>
      <w:r w:rsidR="00973A7F" w:rsidRPr="00950C34">
        <w:rPr>
          <w:rFonts w:asciiTheme="majorBidi" w:hAnsiTheme="majorBidi" w:cstheme="majorBidi"/>
        </w:rPr>
        <w:t xml:space="preserve"> a panel </w:t>
      </w:r>
      <w:r w:rsidR="004352CA" w:rsidRPr="00950C34">
        <w:rPr>
          <w:rFonts w:asciiTheme="majorBidi" w:hAnsiTheme="majorBidi" w:cstheme="majorBidi"/>
        </w:rPr>
        <w:t>of</w:t>
      </w:r>
      <w:r w:rsidR="00CA1398" w:rsidRPr="00950C34">
        <w:rPr>
          <w:rFonts w:asciiTheme="majorBidi" w:hAnsiTheme="majorBidi" w:cstheme="majorBidi"/>
        </w:rPr>
        <w:t xml:space="preserve"> </w:t>
      </w:r>
      <w:r w:rsidR="00973A7F" w:rsidRPr="00950C34">
        <w:rPr>
          <w:rFonts w:asciiTheme="majorBidi" w:hAnsiTheme="majorBidi" w:cstheme="majorBidi"/>
        </w:rPr>
        <w:t>data</w:t>
      </w:r>
      <w:r w:rsidR="004352CA" w:rsidRPr="00950C34">
        <w:rPr>
          <w:rFonts w:asciiTheme="majorBidi" w:hAnsiTheme="majorBidi" w:cstheme="majorBidi"/>
        </w:rPr>
        <w:t xml:space="preserve"> for</w:t>
      </w:r>
      <w:r w:rsidRPr="00950C34">
        <w:rPr>
          <w:rFonts w:asciiTheme="majorBidi" w:hAnsiTheme="majorBidi" w:cstheme="majorBidi"/>
        </w:rPr>
        <w:t xml:space="preserve"> 30 countries that divided into two same groups of industrialized and </w:t>
      </w:r>
      <w:r w:rsidR="00973A7F" w:rsidRPr="00950C34">
        <w:rPr>
          <w:rFonts w:asciiTheme="majorBidi" w:hAnsiTheme="majorBidi" w:cstheme="majorBidi"/>
        </w:rPr>
        <w:t xml:space="preserve">developing </w:t>
      </w:r>
      <w:r w:rsidRPr="00950C34">
        <w:rPr>
          <w:rFonts w:asciiTheme="majorBidi" w:hAnsiTheme="majorBidi" w:cstheme="majorBidi"/>
        </w:rPr>
        <w:t xml:space="preserve">economies, Dutta (2001) </w:t>
      </w:r>
      <w:r w:rsidR="00C97228" w:rsidRPr="00950C34">
        <w:rPr>
          <w:rFonts w:asciiTheme="majorBidi" w:hAnsiTheme="majorBidi" w:cstheme="majorBidi"/>
        </w:rPr>
        <w:t>generally</w:t>
      </w:r>
      <w:r w:rsidRPr="00950C34">
        <w:rPr>
          <w:rFonts w:asciiTheme="majorBidi" w:hAnsiTheme="majorBidi" w:cstheme="majorBidi"/>
        </w:rPr>
        <w:t xml:space="preserve"> confirms</w:t>
      </w:r>
      <w:r w:rsidR="00C97228" w:rsidRPr="00950C34">
        <w:rPr>
          <w:rFonts w:asciiTheme="majorBidi" w:hAnsiTheme="majorBidi" w:cstheme="majorBidi"/>
        </w:rPr>
        <w:t xml:space="preserve"> both directions</w:t>
      </w:r>
      <w:r w:rsidRPr="00950C34">
        <w:rPr>
          <w:rFonts w:asciiTheme="majorBidi" w:hAnsiTheme="majorBidi" w:cstheme="majorBidi"/>
        </w:rPr>
        <w:t xml:space="preserve"> of causality but</w:t>
      </w:r>
      <w:r w:rsidR="00C97228" w:rsidRPr="00950C34">
        <w:rPr>
          <w:rFonts w:asciiTheme="majorBidi" w:hAnsiTheme="majorBidi" w:cstheme="majorBidi"/>
        </w:rPr>
        <w:t xml:space="preserve"> </w:t>
      </w:r>
      <w:r w:rsidR="0096161C" w:rsidRPr="00950C34">
        <w:rPr>
          <w:rFonts w:asciiTheme="majorBidi" w:hAnsiTheme="majorBidi" w:cstheme="majorBidi"/>
        </w:rPr>
        <w:t>causality</w:t>
      </w:r>
      <w:r w:rsidR="00C97228" w:rsidRPr="00950C34">
        <w:rPr>
          <w:rFonts w:asciiTheme="majorBidi" w:hAnsiTheme="majorBidi" w:cstheme="majorBidi"/>
        </w:rPr>
        <w:t xml:space="preserve"> direction</w:t>
      </w:r>
      <w:r w:rsidRPr="00950C34">
        <w:rPr>
          <w:rFonts w:asciiTheme="majorBidi" w:hAnsiTheme="majorBidi" w:cstheme="majorBidi"/>
        </w:rPr>
        <w:t xml:space="preserve"> of</w:t>
      </w:r>
      <w:r w:rsidR="0096161C" w:rsidRPr="00950C34">
        <w:rPr>
          <w:rFonts w:asciiTheme="majorBidi" w:hAnsiTheme="majorBidi" w:cstheme="majorBidi"/>
        </w:rPr>
        <w:t xml:space="preserve"> </w:t>
      </w:r>
      <w:r w:rsidRPr="00950C34">
        <w:rPr>
          <w:rFonts w:asciiTheme="majorBidi" w:hAnsiTheme="majorBidi" w:cstheme="majorBidi"/>
        </w:rPr>
        <w:t>ICT</w:t>
      </w:r>
      <w:r w:rsidR="0096161C" w:rsidRPr="00950C34">
        <w:rPr>
          <w:rFonts w:asciiTheme="majorBidi" w:hAnsiTheme="majorBidi" w:cstheme="majorBidi"/>
        </w:rPr>
        <w:t xml:space="preserve"> infrastructure to economic activity was stronger than opposite direction.</w:t>
      </w:r>
      <w:r w:rsidR="00B21A8C" w:rsidRPr="00950C34">
        <w:rPr>
          <w:rFonts w:asciiTheme="majorBidi" w:hAnsiTheme="majorBidi" w:cstheme="majorBidi"/>
        </w:rPr>
        <w:t xml:space="preserve"> </w:t>
      </w:r>
      <w:r w:rsidR="004352CA" w:rsidRPr="00950C34">
        <w:rPr>
          <w:rFonts w:asciiTheme="majorBidi" w:hAnsiTheme="majorBidi" w:cstheme="majorBidi"/>
        </w:rPr>
        <w:t xml:space="preserve">Five years </w:t>
      </w:r>
      <w:r w:rsidR="00D04598" w:rsidRPr="00950C34">
        <w:rPr>
          <w:rFonts w:asciiTheme="majorBidi" w:hAnsiTheme="majorBidi" w:cstheme="majorBidi"/>
        </w:rPr>
        <w:t>later</w:t>
      </w:r>
      <w:r w:rsidR="004352CA" w:rsidRPr="00950C34">
        <w:rPr>
          <w:rFonts w:asciiTheme="majorBidi" w:hAnsiTheme="majorBidi" w:cstheme="majorBidi"/>
        </w:rPr>
        <w:t>,</w:t>
      </w:r>
      <w:r w:rsidR="00B21A8C" w:rsidRPr="00950C34">
        <w:rPr>
          <w:rFonts w:asciiTheme="majorBidi" w:hAnsiTheme="majorBidi" w:cstheme="majorBidi"/>
        </w:rPr>
        <w:t xml:space="preserve"> </w:t>
      </w:r>
      <w:r w:rsidR="00692FAA" w:rsidRPr="00950C34">
        <w:rPr>
          <w:rFonts w:asciiTheme="majorBidi" w:hAnsiTheme="majorBidi" w:cstheme="majorBidi"/>
        </w:rPr>
        <w:t xml:space="preserve">Datta and Mbarika (2006) </w:t>
      </w:r>
      <w:r w:rsidR="00D04598" w:rsidRPr="00950C34">
        <w:rPr>
          <w:rFonts w:asciiTheme="majorBidi" w:hAnsiTheme="majorBidi" w:cstheme="majorBidi"/>
        </w:rPr>
        <w:t xml:space="preserve">have </w:t>
      </w:r>
      <w:r w:rsidR="004352CA" w:rsidRPr="00950C34">
        <w:rPr>
          <w:rFonts w:asciiTheme="majorBidi" w:hAnsiTheme="majorBidi" w:cstheme="majorBidi"/>
        </w:rPr>
        <w:t>reported</w:t>
      </w:r>
      <w:r w:rsidR="00692FAA" w:rsidRPr="00950C34">
        <w:rPr>
          <w:rFonts w:asciiTheme="majorBidi" w:hAnsiTheme="majorBidi" w:cstheme="majorBidi"/>
        </w:rPr>
        <w:t xml:space="preserve"> evidence of causality running from </w:t>
      </w:r>
      <w:r w:rsidR="004352CA" w:rsidRPr="00950C34">
        <w:rPr>
          <w:rFonts w:asciiTheme="majorBidi" w:hAnsiTheme="majorBidi" w:cstheme="majorBidi"/>
        </w:rPr>
        <w:t>ICT</w:t>
      </w:r>
      <w:r w:rsidR="00692FAA" w:rsidRPr="00950C34">
        <w:rPr>
          <w:rFonts w:asciiTheme="majorBidi" w:hAnsiTheme="majorBidi" w:cstheme="majorBidi"/>
        </w:rPr>
        <w:t xml:space="preserve"> infrastructure to service</w:t>
      </w:r>
      <w:r w:rsidR="00692FAA" w:rsidRPr="00950C34">
        <w:rPr>
          <w:rFonts w:ascii="Cambria Math" w:hAnsi="Cambria Math" w:cstheme="majorBidi"/>
        </w:rPr>
        <w:t>‐</w:t>
      </w:r>
      <w:r w:rsidR="00692FAA" w:rsidRPr="00950C34">
        <w:rPr>
          <w:rFonts w:asciiTheme="majorBidi" w:hAnsiTheme="majorBidi" w:cstheme="majorBidi"/>
        </w:rPr>
        <w:t>sector growth</w:t>
      </w:r>
      <w:r w:rsidR="004352CA" w:rsidRPr="00950C34">
        <w:rPr>
          <w:rFonts w:asciiTheme="majorBidi" w:hAnsiTheme="majorBidi" w:cstheme="majorBidi"/>
        </w:rPr>
        <w:t xml:space="preserve"> by a panel of data for 90 countries that divided into three same groups of low income, middle income and high income</w:t>
      </w:r>
      <w:r w:rsidR="00813721" w:rsidRPr="00950C34">
        <w:rPr>
          <w:rFonts w:asciiTheme="majorBidi" w:hAnsiTheme="majorBidi" w:cstheme="majorBidi"/>
        </w:rPr>
        <w:t>.</w:t>
      </w:r>
    </w:p>
    <w:p w:rsidR="00A44782" w:rsidRPr="00950C34" w:rsidRDefault="00D04598" w:rsidP="00F33BC8">
      <w:pPr>
        <w:spacing w:after="0" w:line="240" w:lineRule="auto"/>
        <w:rPr>
          <w:rFonts w:asciiTheme="majorBidi" w:hAnsiTheme="majorBidi" w:cstheme="majorBidi"/>
        </w:rPr>
      </w:pPr>
      <w:r w:rsidRPr="00950C34">
        <w:rPr>
          <w:rFonts w:asciiTheme="majorBidi" w:hAnsiTheme="majorBidi" w:cstheme="majorBidi"/>
        </w:rPr>
        <w:lastRenderedPageBreak/>
        <w:t xml:space="preserve">One of the most significant current discussions in </w:t>
      </w:r>
      <w:r w:rsidR="006F7207" w:rsidRPr="00950C34">
        <w:rPr>
          <w:rFonts w:asciiTheme="majorBidi" w:hAnsiTheme="majorBidi" w:cstheme="majorBidi"/>
        </w:rPr>
        <w:t xml:space="preserve">the causal relationship between </w:t>
      </w:r>
      <w:r w:rsidRPr="00950C34">
        <w:rPr>
          <w:rFonts w:asciiTheme="majorBidi" w:hAnsiTheme="majorBidi" w:cstheme="majorBidi"/>
        </w:rPr>
        <w:t xml:space="preserve">ICT development </w:t>
      </w:r>
      <w:r w:rsidR="006F7207" w:rsidRPr="00950C34">
        <w:rPr>
          <w:rFonts w:asciiTheme="majorBidi" w:hAnsiTheme="majorBidi" w:cstheme="majorBidi"/>
        </w:rPr>
        <w:t xml:space="preserve">and </w:t>
      </w:r>
      <w:r w:rsidRPr="00950C34">
        <w:rPr>
          <w:rFonts w:asciiTheme="majorBidi" w:hAnsiTheme="majorBidi" w:cstheme="majorBidi"/>
        </w:rPr>
        <w:t xml:space="preserve">economic growth </w:t>
      </w:r>
      <w:r w:rsidR="006F7207" w:rsidRPr="00950C34">
        <w:rPr>
          <w:rFonts w:asciiTheme="majorBidi" w:hAnsiTheme="majorBidi" w:cstheme="majorBidi"/>
        </w:rPr>
        <w:t>is</w:t>
      </w:r>
      <w:r w:rsidRPr="00950C34">
        <w:rPr>
          <w:rFonts w:asciiTheme="majorBidi" w:hAnsiTheme="majorBidi" w:cstheme="majorBidi"/>
        </w:rPr>
        <w:t xml:space="preserve"> that </w:t>
      </w:r>
      <w:r w:rsidR="00D2790F" w:rsidRPr="00950C34">
        <w:rPr>
          <w:rFonts w:asciiTheme="majorBidi" w:hAnsiTheme="majorBidi" w:cstheme="majorBidi"/>
        </w:rPr>
        <w:t xml:space="preserve">bidirectional or unidirectional </w:t>
      </w:r>
      <w:r w:rsidRPr="00950C34">
        <w:rPr>
          <w:rFonts w:asciiTheme="majorBidi" w:hAnsiTheme="majorBidi" w:cstheme="majorBidi"/>
        </w:rPr>
        <w:t xml:space="preserve">of </w:t>
      </w:r>
      <w:r w:rsidR="00C82CE4" w:rsidRPr="00950C34">
        <w:rPr>
          <w:rFonts w:asciiTheme="majorBidi" w:hAnsiTheme="majorBidi" w:cstheme="majorBidi"/>
        </w:rPr>
        <w:t>causality</w:t>
      </w:r>
      <w:r w:rsidR="00D2790F" w:rsidRPr="00950C34">
        <w:rPr>
          <w:rFonts w:asciiTheme="majorBidi" w:hAnsiTheme="majorBidi" w:cstheme="majorBidi"/>
        </w:rPr>
        <w:t xml:space="preserve"> </w:t>
      </w:r>
      <w:r w:rsidR="00C82CE4" w:rsidRPr="00950C34">
        <w:rPr>
          <w:rFonts w:asciiTheme="majorBidi" w:hAnsiTheme="majorBidi" w:cstheme="majorBidi"/>
        </w:rPr>
        <w:t>dependents</w:t>
      </w:r>
      <w:r w:rsidR="006F7207" w:rsidRPr="00950C34">
        <w:rPr>
          <w:rFonts w:asciiTheme="majorBidi" w:hAnsiTheme="majorBidi" w:cstheme="majorBidi"/>
        </w:rPr>
        <w:t xml:space="preserve"> </w:t>
      </w:r>
      <w:r w:rsidRPr="00950C34">
        <w:rPr>
          <w:rFonts w:asciiTheme="majorBidi" w:hAnsiTheme="majorBidi" w:cstheme="majorBidi"/>
        </w:rPr>
        <w:t>on</w:t>
      </w:r>
      <w:r w:rsidR="006F7207" w:rsidRPr="00950C34">
        <w:rPr>
          <w:rFonts w:asciiTheme="majorBidi" w:hAnsiTheme="majorBidi" w:cstheme="majorBidi"/>
        </w:rPr>
        <w:t xml:space="preserve"> the level of income</w:t>
      </w:r>
      <w:r w:rsidR="00872312" w:rsidRPr="00950C34">
        <w:rPr>
          <w:rFonts w:asciiTheme="majorBidi" w:hAnsiTheme="majorBidi" w:cstheme="majorBidi"/>
        </w:rPr>
        <w:t>,</w:t>
      </w:r>
      <w:r w:rsidR="006F7207" w:rsidRPr="00950C34">
        <w:rPr>
          <w:rFonts w:asciiTheme="majorBidi" w:hAnsiTheme="majorBidi" w:cstheme="majorBidi"/>
        </w:rPr>
        <w:t xml:space="preserve"> </w:t>
      </w:r>
      <w:r w:rsidR="00CA1398" w:rsidRPr="00950C34">
        <w:rPr>
          <w:rFonts w:asciiTheme="majorBidi" w:hAnsiTheme="majorBidi" w:cstheme="majorBidi"/>
        </w:rPr>
        <w:t>ICT</w:t>
      </w:r>
      <w:r w:rsidR="006F7207" w:rsidRPr="00950C34">
        <w:rPr>
          <w:rFonts w:asciiTheme="majorBidi" w:hAnsiTheme="majorBidi" w:cstheme="majorBidi"/>
        </w:rPr>
        <w:t xml:space="preserve"> </w:t>
      </w:r>
      <w:r w:rsidR="00CA1398" w:rsidRPr="00950C34">
        <w:rPr>
          <w:rFonts w:asciiTheme="majorBidi" w:hAnsiTheme="majorBidi" w:cstheme="majorBidi"/>
        </w:rPr>
        <w:t>infrastructure</w:t>
      </w:r>
      <w:r w:rsidR="008413B7" w:rsidRPr="00950C34">
        <w:rPr>
          <w:rFonts w:asciiTheme="majorBidi" w:hAnsiTheme="majorBidi" w:cstheme="majorBidi"/>
        </w:rPr>
        <w:t xml:space="preserve"> or other factors</w:t>
      </w:r>
      <w:r w:rsidR="006F7207" w:rsidRPr="00950C34">
        <w:rPr>
          <w:rFonts w:asciiTheme="majorBidi" w:hAnsiTheme="majorBidi" w:cstheme="majorBidi"/>
        </w:rPr>
        <w:t>.</w:t>
      </w:r>
      <w:r w:rsidR="008F6853" w:rsidRPr="00950C34">
        <w:rPr>
          <w:rFonts w:asciiTheme="majorBidi" w:hAnsiTheme="majorBidi" w:cstheme="majorBidi"/>
        </w:rPr>
        <w:t xml:space="preserve"> A large scale study that examined</w:t>
      </w:r>
      <w:r w:rsidR="006F7207" w:rsidRPr="00950C34">
        <w:rPr>
          <w:rFonts w:asciiTheme="majorBidi" w:hAnsiTheme="majorBidi" w:cstheme="majorBidi"/>
        </w:rPr>
        <w:t xml:space="preserve"> </w:t>
      </w:r>
      <w:r w:rsidR="00CA1398" w:rsidRPr="00950C34">
        <w:rPr>
          <w:rFonts w:asciiTheme="majorBidi" w:hAnsiTheme="majorBidi" w:cstheme="majorBidi"/>
        </w:rPr>
        <w:t>the causality for 105</w:t>
      </w:r>
      <w:r w:rsidR="008F6853" w:rsidRPr="00950C34">
        <w:rPr>
          <w:rFonts w:asciiTheme="majorBidi" w:hAnsiTheme="majorBidi" w:cstheme="majorBidi"/>
        </w:rPr>
        <w:t xml:space="preserve"> countries (</w:t>
      </w:r>
      <w:r w:rsidR="00FA2787" w:rsidRPr="00950C34">
        <w:rPr>
          <w:rFonts w:asciiTheme="majorBidi" w:hAnsiTheme="majorBidi" w:cstheme="majorBidi"/>
        </w:rPr>
        <w:t>Shiu</w:t>
      </w:r>
      <w:r w:rsidR="008F6853" w:rsidRPr="00950C34">
        <w:rPr>
          <w:rFonts w:asciiTheme="majorBidi" w:hAnsiTheme="majorBidi" w:cstheme="majorBidi"/>
        </w:rPr>
        <w:t xml:space="preserve"> and Lam, </w:t>
      </w:r>
      <w:r w:rsidR="00FA2787" w:rsidRPr="00950C34">
        <w:rPr>
          <w:rFonts w:asciiTheme="majorBidi" w:hAnsiTheme="majorBidi" w:cstheme="majorBidi"/>
        </w:rPr>
        <w:t xml:space="preserve">2008) </w:t>
      </w:r>
      <w:r w:rsidR="008F6853" w:rsidRPr="00950C34">
        <w:rPr>
          <w:rFonts w:asciiTheme="majorBidi" w:hAnsiTheme="majorBidi" w:cstheme="majorBidi"/>
        </w:rPr>
        <w:t xml:space="preserve">revealed </w:t>
      </w:r>
      <w:r w:rsidR="00FA2787" w:rsidRPr="00950C34">
        <w:rPr>
          <w:rFonts w:asciiTheme="majorBidi" w:hAnsiTheme="majorBidi" w:cstheme="majorBidi"/>
        </w:rPr>
        <w:t>bidirectional</w:t>
      </w:r>
      <w:r w:rsidR="005C5743" w:rsidRPr="00950C34">
        <w:rPr>
          <w:rFonts w:asciiTheme="majorBidi" w:hAnsiTheme="majorBidi" w:cstheme="majorBidi"/>
        </w:rPr>
        <w:t xml:space="preserve"> causality </w:t>
      </w:r>
      <w:r w:rsidR="00CA1398" w:rsidRPr="00950C34">
        <w:rPr>
          <w:rFonts w:asciiTheme="majorBidi" w:hAnsiTheme="majorBidi" w:cstheme="majorBidi"/>
        </w:rPr>
        <w:t xml:space="preserve">in </w:t>
      </w:r>
      <w:r w:rsidR="00FA2787" w:rsidRPr="00950C34">
        <w:rPr>
          <w:rFonts w:asciiTheme="majorBidi" w:hAnsiTheme="majorBidi" w:cstheme="majorBidi"/>
        </w:rPr>
        <w:t>high income</w:t>
      </w:r>
      <w:r w:rsidR="005C5743" w:rsidRPr="00950C34">
        <w:rPr>
          <w:rFonts w:asciiTheme="majorBidi" w:hAnsiTheme="majorBidi" w:cstheme="majorBidi"/>
        </w:rPr>
        <w:t xml:space="preserve"> level</w:t>
      </w:r>
      <w:r w:rsidR="00FA2787" w:rsidRPr="00950C34">
        <w:rPr>
          <w:rFonts w:asciiTheme="majorBidi" w:hAnsiTheme="majorBidi" w:cstheme="majorBidi"/>
        </w:rPr>
        <w:t xml:space="preserve"> and European countries </w:t>
      </w:r>
      <w:r w:rsidR="005C5743" w:rsidRPr="00950C34">
        <w:rPr>
          <w:rFonts w:asciiTheme="majorBidi" w:hAnsiTheme="majorBidi" w:cstheme="majorBidi"/>
        </w:rPr>
        <w:t>but</w:t>
      </w:r>
      <w:r w:rsidR="00FA2787" w:rsidRPr="00950C34">
        <w:rPr>
          <w:rFonts w:asciiTheme="majorBidi" w:hAnsiTheme="majorBidi" w:cstheme="majorBidi"/>
        </w:rPr>
        <w:t xml:space="preserve"> unidirectional</w:t>
      </w:r>
      <w:r w:rsidR="00CA1398" w:rsidRPr="00950C34">
        <w:rPr>
          <w:rFonts w:asciiTheme="majorBidi" w:hAnsiTheme="majorBidi" w:cstheme="majorBidi"/>
        </w:rPr>
        <w:t xml:space="preserve"> causality in countries with lower income levels </w:t>
      </w:r>
      <w:r w:rsidR="005C5743" w:rsidRPr="00950C34">
        <w:rPr>
          <w:rFonts w:asciiTheme="majorBidi" w:hAnsiTheme="majorBidi" w:cstheme="majorBidi"/>
        </w:rPr>
        <w:t>that</w:t>
      </w:r>
      <w:r w:rsidR="00CA1398" w:rsidRPr="00950C34">
        <w:rPr>
          <w:rFonts w:asciiTheme="majorBidi" w:hAnsiTheme="majorBidi" w:cstheme="majorBidi"/>
        </w:rPr>
        <w:t xml:space="preserve"> runs</w:t>
      </w:r>
      <w:r w:rsidR="00FA2787" w:rsidRPr="00950C34">
        <w:rPr>
          <w:rFonts w:asciiTheme="majorBidi" w:hAnsiTheme="majorBidi" w:cstheme="majorBidi"/>
        </w:rPr>
        <w:t xml:space="preserve"> from </w:t>
      </w:r>
      <w:r w:rsidR="00CA1398" w:rsidRPr="00950C34">
        <w:rPr>
          <w:rFonts w:asciiTheme="majorBidi" w:hAnsiTheme="majorBidi" w:cstheme="majorBidi"/>
        </w:rPr>
        <w:t>economic growth</w:t>
      </w:r>
      <w:r w:rsidR="00FA2787" w:rsidRPr="00950C34">
        <w:rPr>
          <w:rFonts w:asciiTheme="majorBidi" w:hAnsiTheme="majorBidi" w:cstheme="majorBidi"/>
        </w:rPr>
        <w:t xml:space="preserve"> to </w:t>
      </w:r>
      <w:r w:rsidR="00CA1398" w:rsidRPr="00950C34">
        <w:rPr>
          <w:rFonts w:asciiTheme="majorBidi" w:hAnsiTheme="majorBidi" w:cstheme="majorBidi"/>
        </w:rPr>
        <w:t>ICT development</w:t>
      </w:r>
      <w:r w:rsidR="0061434C" w:rsidRPr="00950C34">
        <w:rPr>
          <w:rFonts w:asciiTheme="majorBidi" w:hAnsiTheme="majorBidi" w:cstheme="majorBidi"/>
        </w:rPr>
        <w:t>.</w:t>
      </w:r>
      <w:r w:rsidR="008413B7" w:rsidRPr="00950C34">
        <w:rPr>
          <w:rFonts w:asciiTheme="majorBidi" w:hAnsiTheme="majorBidi" w:cstheme="majorBidi"/>
        </w:rPr>
        <w:t xml:space="preserve"> They suggest that less-developed countries should create the environmental conditions called “critical mass” by promoting greater ICT penetration rates.</w:t>
      </w:r>
      <w:r w:rsidR="00CA1398" w:rsidRPr="00950C34">
        <w:rPr>
          <w:rFonts w:asciiTheme="majorBidi" w:hAnsiTheme="majorBidi" w:cstheme="majorBidi"/>
        </w:rPr>
        <w:t xml:space="preserve"> </w:t>
      </w:r>
      <w:r w:rsidR="008413B7" w:rsidRPr="00950C34">
        <w:rPr>
          <w:rFonts w:asciiTheme="majorBidi" w:hAnsiTheme="majorBidi" w:cstheme="majorBidi"/>
        </w:rPr>
        <w:t>I</w:t>
      </w:r>
      <w:r w:rsidR="00CA1398" w:rsidRPr="00950C34">
        <w:rPr>
          <w:rFonts w:asciiTheme="majorBidi" w:hAnsiTheme="majorBidi" w:cstheme="majorBidi"/>
        </w:rPr>
        <w:t>n another study,</w:t>
      </w:r>
      <w:r w:rsidR="0061434C" w:rsidRPr="00950C34">
        <w:rPr>
          <w:rFonts w:asciiTheme="majorBidi" w:hAnsiTheme="majorBidi" w:cstheme="majorBidi"/>
        </w:rPr>
        <w:t xml:space="preserve"> </w:t>
      </w:r>
      <w:r w:rsidR="00CA1398" w:rsidRPr="00950C34">
        <w:rPr>
          <w:rFonts w:asciiTheme="majorBidi" w:hAnsiTheme="majorBidi" w:cstheme="majorBidi"/>
        </w:rPr>
        <w:t xml:space="preserve">Shiu and Lam </w:t>
      </w:r>
      <w:r w:rsidR="00FA2787" w:rsidRPr="00950C34">
        <w:rPr>
          <w:rFonts w:asciiTheme="majorBidi" w:hAnsiTheme="majorBidi" w:cstheme="majorBidi"/>
        </w:rPr>
        <w:t xml:space="preserve">(2010) also </w:t>
      </w:r>
      <w:r w:rsidR="0061434C" w:rsidRPr="00950C34">
        <w:rPr>
          <w:rFonts w:asciiTheme="majorBidi" w:hAnsiTheme="majorBidi" w:cstheme="majorBidi"/>
        </w:rPr>
        <w:t>confirm</w:t>
      </w:r>
      <w:r w:rsidR="00083839" w:rsidRPr="00950C34">
        <w:rPr>
          <w:rFonts w:asciiTheme="majorBidi" w:hAnsiTheme="majorBidi" w:cstheme="majorBidi"/>
        </w:rPr>
        <w:t>ed</w:t>
      </w:r>
      <w:r w:rsidR="0061434C" w:rsidRPr="00950C34">
        <w:rPr>
          <w:rFonts w:asciiTheme="majorBidi" w:hAnsiTheme="majorBidi" w:cstheme="majorBidi"/>
        </w:rPr>
        <w:t xml:space="preserve"> </w:t>
      </w:r>
      <w:r w:rsidR="00CA1398" w:rsidRPr="00950C34">
        <w:rPr>
          <w:rFonts w:asciiTheme="majorBidi" w:hAnsiTheme="majorBidi" w:cstheme="majorBidi"/>
        </w:rPr>
        <w:t xml:space="preserve">their pervious </w:t>
      </w:r>
      <w:r w:rsidR="0061434C" w:rsidRPr="00950C34">
        <w:rPr>
          <w:rFonts w:asciiTheme="majorBidi" w:hAnsiTheme="majorBidi" w:cstheme="majorBidi"/>
        </w:rPr>
        <w:t>results</w:t>
      </w:r>
      <w:r w:rsidR="000A3531" w:rsidRPr="00950C34">
        <w:rPr>
          <w:rFonts w:asciiTheme="majorBidi" w:hAnsiTheme="majorBidi" w:cstheme="majorBidi"/>
        </w:rPr>
        <w:t>,</w:t>
      </w:r>
      <w:r w:rsidR="009717AA" w:rsidRPr="00950C34">
        <w:rPr>
          <w:rFonts w:asciiTheme="majorBidi" w:hAnsiTheme="majorBidi" w:cstheme="majorBidi"/>
        </w:rPr>
        <w:t xml:space="preserve"> </w:t>
      </w:r>
      <w:r w:rsidR="000A3531" w:rsidRPr="00950C34">
        <w:rPr>
          <w:rFonts w:asciiTheme="majorBidi" w:hAnsiTheme="majorBidi" w:cstheme="majorBidi"/>
        </w:rPr>
        <w:t>i</w:t>
      </w:r>
      <w:r w:rsidR="009717AA" w:rsidRPr="00950C34">
        <w:rPr>
          <w:rFonts w:asciiTheme="majorBidi" w:hAnsiTheme="majorBidi" w:cstheme="majorBidi"/>
        </w:rPr>
        <w:t xml:space="preserve">n </w:t>
      </w:r>
      <w:r w:rsidR="00083839" w:rsidRPr="00950C34">
        <w:rPr>
          <w:rFonts w:asciiTheme="majorBidi" w:hAnsiTheme="majorBidi" w:cstheme="majorBidi"/>
        </w:rPr>
        <w:t>particular,</w:t>
      </w:r>
      <w:r w:rsidR="009717AA" w:rsidRPr="00950C34">
        <w:rPr>
          <w:rFonts w:asciiTheme="majorBidi" w:hAnsiTheme="majorBidi" w:cstheme="majorBidi"/>
        </w:rPr>
        <w:t xml:space="preserve"> </w:t>
      </w:r>
      <w:r w:rsidR="000A3531" w:rsidRPr="00950C34">
        <w:rPr>
          <w:rFonts w:asciiTheme="majorBidi" w:hAnsiTheme="majorBidi" w:cstheme="majorBidi"/>
        </w:rPr>
        <w:t>by assessing</w:t>
      </w:r>
      <w:r w:rsidR="009717AA" w:rsidRPr="00950C34">
        <w:rPr>
          <w:rFonts w:asciiTheme="majorBidi" w:hAnsiTheme="majorBidi" w:cstheme="majorBidi"/>
        </w:rPr>
        <w:t xml:space="preserve"> the </w:t>
      </w:r>
      <w:r w:rsidR="00CA1398" w:rsidRPr="00950C34">
        <w:rPr>
          <w:rFonts w:asciiTheme="majorBidi" w:hAnsiTheme="majorBidi" w:cstheme="majorBidi"/>
        </w:rPr>
        <w:t>mobile’s effect</w:t>
      </w:r>
      <w:r w:rsidR="009717AA" w:rsidRPr="00950C34">
        <w:rPr>
          <w:rFonts w:asciiTheme="majorBidi" w:hAnsiTheme="majorBidi" w:cstheme="majorBidi"/>
        </w:rPr>
        <w:t xml:space="preserve"> on economic growth</w:t>
      </w:r>
      <w:r w:rsidR="00CA1398" w:rsidRPr="00950C34">
        <w:rPr>
          <w:rFonts w:asciiTheme="majorBidi" w:hAnsiTheme="majorBidi" w:cstheme="majorBidi"/>
        </w:rPr>
        <w:t>.</w:t>
      </w:r>
      <w:r w:rsidR="0057432B" w:rsidRPr="00950C34">
        <w:rPr>
          <w:rFonts w:asciiTheme="majorBidi" w:hAnsiTheme="majorBidi" w:cstheme="majorBidi"/>
        </w:rPr>
        <w:t xml:space="preserve"> </w:t>
      </w:r>
      <w:r w:rsidR="008413B7" w:rsidRPr="00950C34">
        <w:rPr>
          <w:rFonts w:asciiTheme="majorBidi" w:hAnsiTheme="majorBidi" w:cstheme="majorBidi"/>
        </w:rPr>
        <w:t xml:space="preserve">Chakraborty and Nandi’s (2003) </w:t>
      </w:r>
      <w:r w:rsidR="00386C92" w:rsidRPr="00950C34">
        <w:rPr>
          <w:rFonts w:asciiTheme="majorBidi" w:hAnsiTheme="majorBidi" w:cstheme="majorBidi"/>
        </w:rPr>
        <w:t>by</w:t>
      </w:r>
      <w:r w:rsidR="008413B7" w:rsidRPr="00950C34">
        <w:rPr>
          <w:rFonts w:asciiTheme="majorBidi" w:hAnsiTheme="majorBidi" w:cstheme="majorBidi"/>
        </w:rPr>
        <w:t xml:space="preserve"> panel data of 12 Asian’s developing countries in two </w:t>
      </w:r>
      <w:r w:rsidR="00D13EF9" w:rsidRPr="00950C34">
        <w:rPr>
          <w:rFonts w:asciiTheme="majorBidi" w:hAnsiTheme="majorBidi" w:cstheme="majorBidi"/>
        </w:rPr>
        <w:t>categories</w:t>
      </w:r>
      <w:r w:rsidR="008413B7" w:rsidRPr="00950C34">
        <w:rPr>
          <w:rFonts w:asciiTheme="majorBidi" w:hAnsiTheme="majorBidi" w:cstheme="majorBidi"/>
        </w:rPr>
        <w:t xml:space="preserve">, high and low degree of privatization, pointed out that causality was bidirectional only for the high degree of privatization group but for the other group ICT development </w:t>
      </w:r>
      <w:r w:rsidR="005C6861" w:rsidRPr="00950C34">
        <w:rPr>
          <w:rFonts w:asciiTheme="majorBidi" w:hAnsiTheme="majorBidi" w:cstheme="majorBidi"/>
        </w:rPr>
        <w:t>led</w:t>
      </w:r>
      <w:r w:rsidR="008413B7" w:rsidRPr="00950C34">
        <w:rPr>
          <w:rFonts w:asciiTheme="majorBidi" w:hAnsiTheme="majorBidi" w:cstheme="majorBidi"/>
        </w:rPr>
        <w:t xml:space="preserve"> economic growth.</w:t>
      </w:r>
      <w:r w:rsidR="001C654B" w:rsidRPr="00950C34">
        <w:rPr>
          <w:rFonts w:asciiTheme="majorBidi" w:hAnsiTheme="majorBidi" w:cstheme="majorBidi"/>
        </w:rPr>
        <w:t xml:space="preserve"> </w:t>
      </w:r>
      <w:r w:rsidR="00A44782" w:rsidRPr="00950C34">
        <w:rPr>
          <w:rFonts w:asciiTheme="majorBidi" w:hAnsiTheme="majorBidi" w:cstheme="majorBidi"/>
        </w:rPr>
        <w:t>As</w:t>
      </w:r>
      <w:r w:rsidR="00083839" w:rsidRPr="00950C34">
        <w:rPr>
          <w:rFonts w:asciiTheme="majorBidi" w:hAnsiTheme="majorBidi" w:cstheme="majorBidi"/>
        </w:rPr>
        <w:t xml:space="preserve"> a </w:t>
      </w:r>
      <w:r w:rsidR="00A44782" w:rsidRPr="00950C34">
        <w:rPr>
          <w:rFonts w:asciiTheme="majorBidi" w:hAnsiTheme="majorBidi" w:cstheme="majorBidi"/>
        </w:rPr>
        <w:t>result</w:t>
      </w:r>
      <w:r w:rsidR="00DB5087" w:rsidRPr="00950C34">
        <w:rPr>
          <w:rFonts w:asciiTheme="majorBidi" w:hAnsiTheme="majorBidi" w:cstheme="majorBidi"/>
        </w:rPr>
        <w:t xml:space="preserve">, various </w:t>
      </w:r>
      <w:r w:rsidR="00A44782" w:rsidRPr="00950C34">
        <w:rPr>
          <w:rFonts w:asciiTheme="majorBidi" w:hAnsiTheme="majorBidi" w:cstheme="majorBidi"/>
        </w:rPr>
        <w:t xml:space="preserve">factors of each country </w:t>
      </w:r>
      <w:r w:rsidR="00E2404F" w:rsidRPr="00950C34">
        <w:rPr>
          <w:rFonts w:asciiTheme="majorBidi" w:hAnsiTheme="majorBidi" w:cstheme="majorBidi"/>
        </w:rPr>
        <w:t>such as level of development, the degree of ICT adoption of non ICT industry</w:t>
      </w:r>
      <w:r w:rsidR="00A44782" w:rsidRPr="00950C34">
        <w:rPr>
          <w:rFonts w:asciiTheme="majorBidi" w:hAnsiTheme="majorBidi" w:cstheme="majorBidi"/>
        </w:rPr>
        <w:t xml:space="preserve"> and</w:t>
      </w:r>
      <w:r w:rsidR="00E2404F" w:rsidRPr="00950C34">
        <w:rPr>
          <w:rFonts w:asciiTheme="majorBidi" w:hAnsiTheme="majorBidi" w:cstheme="majorBidi"/>
        </w:rPr>
        <w:t xml:space="preserve"> the usage of ICT may be determined the causality and its direction between ICT development and economic growth</w:t>
      </w:r>
      <w:r w:rsidR="00A44782" w:rsidRPr="00950C34">
        <w:rPr>
          <w:rFonts w:asciiTheme="majorBidi" w:hAnsiTheme="majorBidi" w:cstheme="majorBidi"/>
        </w:rPr>
        <w:t xml:space="preserve"> (lee &amp; Becker, 2011).</w:t>
      </w:r>
    </w:p>
    <w:p w:rsidR="00CE0329" w:rsidRPr="00950C34" w:rsidRDefault="00A5245A" w:rsidP="00F33BC8">
      <w:pPr>
        <w:spacing w:after="0" w:line="240" w:lineRule="auto"/>
        <w:rPr>
          <w:rFonts w:asciiTheme="majorBidi" w:hAnsiTheme="majorBidi" w:cstheme="majorBidi"/>
        </w:rPr>
      </w:pPr>
      <w:r w:rsidRPr="00950C34">
        <w:rPr>
          <w:rFonts w:asciiTheme="majorBidi" w:hAnsiTheme="majorBidi" w:cstheme="majorBidi"/>
        </w:rPr>
        <w:t xml:space="preserve"> </w:t>
      </w:r>
      <w:r w:rsidR="00C33281" w:rsidRPr="00950C34">
        <w:rPr>
          <w:rFonts w:asciiTheme="majorBidi" w:hAnsiTheme="majorBidi" w:cstheme="majorBidi"/>
        </w:rPr>
        <w:t xml:space="preserve"> However, </w:t>
      </w:r>
      <w:r w:rsidR="00083839" w:rsidRPr="00950C34">
        <w:rPr>
          <w:rFonts w:asciiTheme="majorBidi" w:hAnsiTheme="majorBidi" w:cstheme="majorBidi"/>
        </w:rPr>
        <w:t>t</w:t>
      </w:r>
      <w:r w:rsidR="00CB1C3D" w:rsidRPr="00950C34">
        <w:rPr>
          <w:rFonts w:asciiTheme="majorBidi" w:hAnsiTheme="majorBidi" w:cstheme="majorBidi"/>
        </w:rPr>
        <w:t xml:space="preserve">he </w:t>
      </w:r>
      <w:r w:rsidR="00083839" w:rsidRPr="00950C34">
        <w:rPr>
          <w:rFonts w:asciiTheme="majorBidi" w:hAnsiTheme="majorBidi" w:cstheme="majorBidi"/>
        </w:rPr>
        <w:t>subject</w:t>
      </w:r>
      <w:r w:rsidR="00CB1C3D" w:rsidRPr="00950C34">
        <w:rPr>
          <w:rFonts w:asciiTheme="majorBidi" w:hAnsiTheme="majorBidi" w:cstheme="majorBidi"/>
        </w:rPr>
        <w:t xml:space="preserve"> of reverse or direction of causality </w:t>
      </w:r>
      <w:r w:rsidR="00083839" w:rsidRPr="00950C34">
        <w:rPr>
          <w:rFonts w:asciiTheme="majorBidi" w:hAnsiTheme="majorBidi" w:cstheme="majorBidi"/>
        </w:rPr>
        <w:t>between ICT</w:t>
      </w:r>
      <w:r w:rsidR="00672A20" w:rsidRPr="00950C34">
        <w:rPr>
          <w:rFonts w:asciiTheme="majorBidi" w:hAnsiTheme="majorBidi" w:cstheme="majorBidi"/>
        </w:rPr>
        <w:t xml:space="preserve"> </w:t>
      </w:r>
      <w:r w:rsidR="00083839" w:rsidRPr="00950C34">
        <w:rPr>
          <w:rFonts w:asciiTheme="majorBidi" w:hAnsiTheme="majorBidi" w:cstheme="majorBidi"/>
        </w:rPr>
        <w:t>development</w:t>
      </w:r>
      <w:r w:rsidR="00672A20" w:rsidRPr="00950C34">
        <w:rPr>
          <w:rFonts w:asciiTheme="majorBidi" w:hAnsiTheme="majorBidi" w:cstheme="majorBidi"/>
        </w:rPr>
        <w:t xml:space="preserve"> and economic growth </w:t>
      </w:r>
      <w:r w:rsidR="00CB1C3D" w:rsidRPr="00950C34">
        <w:rPr>
          <w:rFonts w:asciiTheme="majorBidi" w:hAnsiTheme="majorBidi" w:cstheme="majorBidi"/>
        </w:rPr>
        <w:t xml:space="preserve">is also difficult to </w:t>
      </w:r>
      <w:r w:rsidR="00BB5EE9" w:rsidRPr="00950C34">
        <w:rPr>
          <w:rFonts w:asciiTheme="majorBidi" w:hAnsiTheme="majorBidi" w:cstheme="majorBidi"/>
        </w:rPr>
        <w:t>deal with</w:t>
      </w:r>
      <w:r w:rsidR="00CB1C3D" w:rsidRPr="00950C34">
        <w:rPr>
          <w:rFonts w:asciiTheme="majorBidi" w:hAnsiTheme="majorBidi" w:cstheme="majorBidi"/>
        </w:rPr>
        <w:t xml:space="preserve">. </w:t>
      </w:r>
      <w:r w:rsidR="00BB5EE9" w:rsidRPr="00950C34">
        <w:rPr>
          <w:rFonts w:asciiTheme="majorBidi" w:hAnsiTheme="majorBidi" w:cstheme="majorBidi"/>
        </w:rPr>
        <w:t>For example</w:t>
      </w:r>
      <w:r w:rsidR="00672A20" w:rsidRPr="00950C34">
        <w:rPr>
          <w:rFonts w:asciiTheme="majorBidi" w:hAnsiTheme="majorBidi" w:cstheme="majorBidi"/>
        </w:rPr>
        <w:t>,</w:t>
      </w:r>
      <w:r w:rsidR="00CB1C3D" w:rsidRPr="00950C34">
        <w:rPr>
          <w:rFonts w:asciiTheme="majorBidi" w:hAnsiTheme="majorBidi" w:cstheme="majorBidi"/>
        </w:rPr>
        <w:t xml:space="preserve"> Yoo and Kwak (2004) </w:t>
      </w:r>
      <w:r w:rsidR="00672A20" w:rsidRPr="00950C34">
        <w:rPr>
          <w:rFonts w:asciiTheme="majorBidi" w:hAnsiTheme="majorBidi" w:cstheme="majorBidi"/>
        </w:rPr>
        <w:t>found</w:t>
      </w:r>
      <w:r w:rsidR="00CB1C3D" w:rsidRPr="00950C34">
        <w:rPr>
          <w:rFonts w:asciiTheme="majorBidi" w:hAnsiTheme="majorBidi" w:cstheme="majorBidi"/>
        </w:rPr>
        <w:t xml:space="preserve"> a bidirectional</w:t>
      </w:r>
      <w:r w:rsidR="00672A20" w:rsidRPr="00950C34">
        <w:rPr>
          <w:rFonts w:asciiTheme="majorBidi" w:hAnsiTheme="majorBidi" w:cstheme="majorBidi"/>
        </w:rPr>
        <w:t xml:space="preserve"> causal</w:t>
      </w:r>
      <w:r w:rsidR="00CB1C3D" w:rsidRPr="00950C34">
        <w:rPr>
          <w:rFonts w:asciiTheme="majorBidi" w:hAnsiTheme="majorBidi" w:cstheme="majorBidi"/>
        </w:rPr>
        <w:t xml:space="preserve"> relationship in South Korea, </w:t>
      </w:r>
      <w:r w:rsidR="0096161C" w:rsidRPr="00950C34">
        <w:rPr>
          <w:rFonts w:asciiTheme="majorBidi" w:hAnsiTheme="majorBidi" w:cstheme="majorBidi"/>
        </w:rPr>
        <w:t xml:space="preserve">Cieslik and Kaniewsk’s (2004) </w:t>
      </w:r>
      <w:r w:rsidR="00CB1C3D" w:rsidRPr="00950C34">
        <w:rPr>
          <w:rFonts w:asciiTheme="majorBidi" w:hAnsiTheme="majorBidi" w:cstheme="majorBidi"/>
        </w:rPr>
        <w:t>reported that</w:t>
      </w:r>
      <w:r w:rsidR="0096161C" w:rsidRPr="00950C34">
        <w:rPr>
          <w:rFonts w:asciiTheme="majorBidi" w:hAnsiTheme="majorBidi" w:cstheme="majorBidi"/>
        </w:rPr>
        <w:t xml:space="preserve"> </w:t>
      </w:r>
      <w:r w:rsidR="00CB1C3D" w:rsidRPr="00950C34">
        <w:rPr>
          <w:rFonts w:asciiTheme="majorBidi" w:hAnsiTheme="majorBidi" w:cstheme="majorBidi"/>
        </w:rPr>
        <w:t xml:space="preserve">causality ran from </w:t>
      </w:r>
      <w:r w:rsidR="00672A20" w:rsidRPr="00950C34">
        <w:rPr>
          <w:rFonts w:asciiTheme="majorBidi" w:hAnsiTheme="majorBidi" w:cstheme="majorBidi"/>
        </w:rPr>
        <w:t>ICT</w:t>
      </w:r>
      <w:r w:rsidR="0096161C" w:rsidRPr="00950C34">
        <w:rPr>
          <w:rFonts w:asciiTheme="majorBidi" w:hAnsiTheme="majorBidi" w:cstheme="majorBidi"/>
        </w:rPr>
        <w:t xml:space="preserve"> infrastructure </w:t>
      </w:r>
      <w:r w:rsidR="00CB1C3D" w:rsidRPr="00950C34">
        <w:rPr>
          <w:rFonts w:asciiTheme="majorBidi" w:hAnsiTheme="majorBidi" w:cstheme="majorBidi"/>
        </w:rPr>
        <w:t>to</w:t>
      </w:r>
      <w:r w:rsidR="0096161C" w:rsidRPr="00950C34">
        <w:rPr>
          <w:rFonts w:asciiTheme="majorBidi" w:hAnsiTheme="majorBidi" w:cstheme="majorBidi"/>
        </w:rPr>
        <w:t xml:space="preserve"> income </w:t>
      </w:r>
      <w:r w:rsidR="00672A20" w:rsidRPr="00950C34">
        <w:rPr>
          <w:rFonts w:asciiTheme="majorBidi" w:hAnsiTheme="majorBidi" w:cstheme="majorBidi"/>
        </w:rPr>
        <w:t xml:space="preserve">at the regional level in </w:t>
      </w:r>
      <w:r w:rsidR="00BB5EE9" w:rsidRPr="00950C34">
        <w:rPr>
          <w:rFonts w:asciiTheme="majorBidi" w:hAnsiTheme="majorBidi" w:cstheme="majorBidi"/>
        </w:rPr>
        <w:t>Poland. While</w:t>
      </w:r>
      <w:r w:rsidR="005651C5" w:rsidRPr="00950C34">
        <w:rPr>
          <w:rFonts w:asciiTheme="majorBidi" w:hAnsiTheme="majorBidi" w:cstheme="majorBidi"/>
        </w:rPr>
        <w:t>,</w:t>
      </w:r>
      <w:r w:rsidR="00BB5EE9" w:rsidRPr="00950C34">
        <w:rPr>
          <w:rFonts w:asciiTheme="majorBidi" w:hAnsiTheme="majorBidi" w:cstheme="majorBidi"/>
        </w:rPr>
        <w:t xml:space="preserve"> </w:t>
      </w:r>
      <w:r w:rsidR="00E53A14" w:rsidRPr="00950C34">
        <w:rPr>
          <w:rFonts w:asciiTheme="majorBidi" w:hAnsiTheme="majorBidi" w:cstheme="majorBidi"/>
        </w:rPr>
        <w:t xml:space="preserve">Shiu and Lam </w:t>
      </w:r>
      <w:r w:rsidR="00BB5EE9" w:rsidRPr="00950C34">
        <w:rPr>
          <w:rFonts w:asciiTheme="majorBidi" w:hAnsiTheme="majorBidi" w:cstheme="majorBidi"/>
        </w:rPr>
        <w:t>(</w:t>
      </w:r>
      <w:r w:rsidR="00E53A14" w:rsidRPr="00950C34">
        <w:rPr>
          <w:rFonts w:asciiTheme="majorBidi" w:hAnsiTheme="majorBidi" w:cstheme="majorBidi"/>
        </w:rPr>
        <w:t>2008</w:t>
      </w:r>
      <w:r w:rsidR="00BB5EE9" w:rsidRPr="00950C34">
        <w:rPr>
          <w:rFonts w:asciiTheme="majorBidi" w:hAnsiTheme="majorBidi" w:cstheme="majorBidi"/>
        </w:rPr>
        <w:t>)</w:t>
      </w:r>
      <w:r w:rsidR="00E53A14" w:rsidRPr="00950C34">
        <w:rPr>
          <w:rFonts w:asciiTheme="majorBidi" w:hAnsiTheme="majorBidi" w:cstheme="majorBidi"/>
        </w:rPr>
        <w:t xml:space="preserve"> </w:t>
      </w:r>
      <w:r w:rsidR="00672A20" w:rsidRPr="00950C34">
        <w:rPr>
          <w:rFonts w:asciiTheme="majorBidi" w:hAnsiTheme="majorBidi" w:cstheme="majorBidi"/>
        </w:rPr>
        <w:t>in China identified the</w:t>
      </w:r>
      <w:r w:rsidR="00E53A14" w:rsidRPr="00950C34">
        <w:rPr>
          <w:rFonts w:asciiTheme="majorBidi" w:hAnsiTheme="majorBidi" w:cstheme="majorBidi"/>
        </w:rPr>
        <w:t xml:space="preserve"> </w:t>
      </w:r>
      <w:r w:rsidR="00672A20" w:rsidRPr="00950C34">
        <w:rPr>
          <w:rFonts w:asciiTheme="majorBidi" w:hAnsiTheme="majorBidi" w:cstheme="majorBidi"/>
        </w:rPr>
        <w:t xml:space="preserve">existence </w:t>
      </w:r>
      <w:r w:rsidR="00BB5EE9" w:rsidRPr="00950C34">
        <w:rPr>
          <w:rFonts w:asciiTheme="majorBidi" w:hAnsiTheme="majorBidi" w:cstheme="majorBidi"/>
        </w:rPr>
        <w:t xml:space="preserve">of </w:t>
      </w:r>
      <w:r w:rsidR="00672A20" w:rsidRPr="00950C34">
        <w:rPr>
          <w:rFonts w:asciiTheme="majorBidi" w:hAnsiTheme="majorBidi" w:cstheme="majorBidi"/>
        </w:rPr>
        <w:t>one-way direction</w:t>
      </w:r>
      <w:r w:rsidR="00E53A14" w:rsidRPr="00950C34">
        <w:rPr>
          <w:rFonts w:asciiTheme="majorBidi" w:hAnsiTheme="majorBidi" w:cstheme="majorBidi"/>
        </w:rPr>
        <w:t xml:space="preserve"> from economic growth to ICT development. </w:t>
      </w:r>
      <w:r w:rsidR="005651C5" w:rsidRPr="00950C34">
        <w:rPr>
          <w:rFonts w:asciiTheme="majorBidi" w:hAnsiTheme="majorBidi" w:cstheme="majorBidi"/>
        </w:rPr>
        <w:t xml:space="preserve">Elsewhere, </w:t>
      </w:r>
      <w:r w:rsidR="00BB5EE9" w:rsidRPr="00950C34">
        <w:rPr>
          <w:rFonts w:asciiTheme="majorBidi" w:hAnsiTheme="majorBidi" w:cstheme="majorBidi"/>
        </w:rPr>
        <w:t>i</w:t>
      </w:r>
      <w:r w:rsidR="00E53A14" w:rsidRPr="00950C34">
        <w:rPr>
          <w:rFonts w:asciiTheme="majorBidi" w:hAnsiTheme="majorBidi" w:cstheme="majorBidi"/>
        </w:rPr>
        <w:t>n a study</w:t>
      </w:r>
      <w:r w:rsidR="00BB5EE9" w:rsidRPr="00950C34">
        <w:rPr>
          <w:rFonts w:asciiTheme="majorBidi" w:hAnsiTheme="majorBidi" w:cstheme="majorBidi"/>
        </w:rPr>
        <w:t xml:space="preserve"> based on a </w:t>
      </w:r>
      <w:r w:rsidR="005651C5" w:rsidRPr="00950C34">
        <w:rPr>
          <w:rFonts w:asciiTheme="majorBidi" w:hAnsiTheme="majorBidi" w:cstheme="majorBidi"/>
        </w:rPr>
        <w:t>data panel of</w:t>
      </w:r>
      <w:r w:rsidR="00E53A14" w:rsidRPr="00950C34">
        <w:rPr>
          <w:rFonts w:asciiTheme="majorBidi" w:hAnsiTheme="majorBidi" w:cstheme="majorBidi"/>
        </w:rPr>
        <w:t xml:space="preserve"> </w:t>
      </w:r>
      <w:r w:rsidR="005651C5" w:rsidRPr="00950C34">
        <w:rPr>
          <w:rFonts w:asciiTheme="majorBidi" w:hAnsiTheme="majorBidi" w:cstheme="majorBidi"/>
        </w:rPr>
        <w:t>ten</w:t>
      </w:r>
      <w:r w:rsidR="00E53A14" w:rsidRPr="00950C34">
        <w:rPr>
          <w:rFonts w:asciiTheme="majorBidi" w:hAnsiTheme="majorBidi" w:cstheme="majorBidi"/>
        </w:rPr>
        <w:t xml:space="preserve"> Latin American cou</w:t>
      </w:r>
      <w:r w:rsidR="005651C5" w:rsidRPr="00950C34">
        <w:rPr>
          <w:rFonts w:asciiTheme="majorBidi" w:hAnsiTheme="majorBidi" w:cstheme="majorBidi"/>
        </w:rPr>
        <w:t>ntries</w:t>
      </w:r>
      <w:r w:rsidR="00E53A14" w:rsidRPr="00950C34">
        <w:rPr>
          <w:rFonts w:asciiTheme="majorBidi" w:hAnsiTheme="majorBidi" w:cstheme="majorBidi"/>
        </w:rPr>
        <w:t xml:space="preserve"> </w:t>
      </w:r>
      <w:r w:rsidR="00BB5EE9" w:rsidRPr="00950C34">
        <w:rPr>
          <w:rFonts w:asciiTheme="majorBidi" w:hAnsiTheme="majorBidi" w:cstheme="majorBidi"/>
        </w:rPr>
        <w:t xml:space="preserve"> conducted by </w:t>
      </w:r>
      <w:r w:rsidR="00E53A14" w:rsidRPr="00950C34">
        <w:rPr>
          <w:rFonts w:asciiTheme="majorBidi" w:hAnsiTheme="majorBidi" w:cstheme="majorBidi"/>
        </w:rPr>
        <w:t xml:space="preserve">Veeramacheneni, </w:t>
      </w:r>
      <w:r w:rsidR="005651C5" w:rsidRPr="00950C34">
        <w:rPr>
          <w:rFonts w:asciiTheme="majorBidi" w:hAnsiTheme="majorBidi" w:cstheme="majorBidi"/>
        </w:rPr>
        <w:t>Ekanayake</w:t>
      </w:r>
      <w:r w:rsidR="00BB5EE9" w:rsidRPr="00950C34">
        <w:rPr>
          <w:rFonts w:asciiTheme="majorBidi" w:hAnsiTheme="majorBidi" w:cstheme="majorBidi"/>
        </w:rPr>
        <w:t>, and</w:t>
      </w:r>
      <w:r w:rsidR="000D2568" w:rsidRPr="00950C34">
        <w:rPr>
          <w:rFonts w:asciiTheme="majorBidi" w:hAnsiTheme="majorBidi" w:cstheme="majorBidi"/>
        </w:rPr>
        <w:t xml:space="preserve"> </w:t>
      </w:r>
      <w:r w:rsidR="005651C5" w:rsidRPr="00950C34">
        <w:rPr>
          <w:rFonts w:asciiTheme="majorBidi" w:hAnsiTheme="majorBidi" w:cstheme="majorBidi"/>
        </w:rPr>
        <w:t>Vogel</w:t>
      </w:r>
      <w:r w:rsidR="000D2568" w:rsidRPr="00950C34">
        <w:rPr>
          <w:rFonts w:asciiTheme="majorBidi" w:hAnsiTheme="majorBidi" w:cstheme="majorBidi"/>
        </w:rPr>
        <w:t xml:space="preserve"> (</w:t>
      </w:r>
      <w:r w:rsidR="005651C5" w:rsidRPr="00950C34">
        <w:rPr>
          <w:rFonts w:asciiTheme="majorBidi" w:hAnsiTheme="majorBidi" w:cstheme="majorBidi"/>
        </w:rPr>
        <w:t>2007</w:t>
      </w:r>
      <w:r w:rsidR="000D2568" w:rsidRPr="00950C34">
        <w:rPr>
          <w:rFonts w:asciiTheme="majorBidi" w:hAnsiTheme="majorBidi" w:cstheme="majorBidi"/>
        </w:rPr>
        <w:t>)</w:t>
      </w:r>
      <w:r w:rsidR="00E53A14" w:rsidRPr="00950C34">
        <w:rPr>
          <w:rFonts w:asciiTheme="majorBidi" w:hAnsiTheme="majorBidi" w:cstheme="majorBidi"/>
        </w:rPr>
        <w:t xml:space="preserve"> showed that the seven out of ten countries </w:t>
      </w:r>
      <w:r w:rsidR="005651C5" w:rsidRPr="00950C34">
        <w:rPr>
          <w:rFonts w:asciiTheme="majorBidi" w:hAnsiTheme="majorBidi" w:cstheme="majorBidi"/>
        </w:rPr>
        <w:t>have bidirectional Gra</w:t>
      </w:r>
      <w:r w:rsidR="00BB5EE9" w:rsidRPr="00950C34">
        <w:rPr>
          <w:rFonts w:asciiTheme="majorBidi" w:hAnsiTheme="majorBidi" w:cstheme="majorBidi"/>
        </w:rPr>
        <w:t>nger causality in the short-run,</w:t>
      </w:r>
      <w:r w:rsidR="005651C5" w:rsidRPr="00950C34">
        <w:rPr>
          <w:rFonts w:asciiTheme="majorBidi" w:hAnsiTheme="majorBidi" w:cstheme="majorBidi"/>
        </w:rPr>
        <w:t xml:space="preserve"> </w:t>
      </w:r>
      <w:r w:rsidR="00BB5EE9" w:rsidRPr="00950C34">
        <w:rPr>
          <w:rFonts w:asciiTheme="majorBidi" w:hAnsiTheme="majorBidi" w:cstheme="majorBidi"/>
        </w:rPr>
        <w:t xml:space="preserve">in </w:t>
      </w:r>
      <w:r w:rsidR="005651C5" w:rsidRPr="00950C34">
        <w:rPr>
          <w:rFonts w:asciiTheme="majorBidi" w:hAnsiTheme="majorBidi" w:cstheme="majorBidi"/>
        </w:rPr>
        <w:t>two</w:t>
      </w:r>
      <w:r w:rsidR="00BB5EE9" w:rsidRPr="00950C34">
        <w:rPr>
          <w:rFonts w:asciiTheme="majorBidi" w:hAnsiTheme="majorBidi" w:cstheme="majorBidi"/>
        </w:rPr>
        <w:t xml:space="preserve"> other</w:t>
      </w:r>
      <w:r w:rsidR="005651C5" w:rsidRPr="00950C34">
        <w:rPr>
          <w:rFonts w:asciiTheme="majorBidi" w:hAnsiTheme="majorBidi" w:cstheme="majorBidi"/>
        </w:rPr>
        <w:t xml:space="preserve"> countries economic growth Granger causes ICT</w:t>
      </w:r>
      <w:r w:rsidR="00BB5EE9" w:rsidRPr="00950C34">
        <w:rPr>
          <w:rFonts w:asciiTheme="majorBidi" w:hAnsiTheme="majorBidi" w:cstheme="majorBidi"/>
        </w:rPr>
        <w:t>,</w:t>
      </w:r>
      <w:r w:rsidR="005651C5" w:rsidRPr="00950C34">
        <w:rPr>
          <w:rFonts w:asciiTheme="majorBidi" w:hAnsiTheme="majorBidi" w:cstheme="majorBidi"/>
        </w:rPr>
        <w:t xml:space="preserve"> and </w:t>
      </w:r>
      <w:r w:rsidR="00E53A14" w:rsidRPr="00950C34">
        <w:rPr>
          <w:rFonts w:asciiTheme="majorBidi" w:hAnsiTheme="majorBidi" w:cstheme="majorBidi"/>
        </w:rPr>
        <w:t>one country alone has causality running from ICT</w:t>
      </w:r>
      <w:r w:rsidR="005651C5" w:rsidRPr="00950C34">
        <w:rPr>
          <w:rFonts w:asciiTheme="majorBidi" w:hAnsiTheme="majorBidi" w:cstheme="majorBidi"/>
        </w:rPr>
        <w:t xml:space="preserve"> </w:t>
      </w:r>
      <w:r w:rsidR="00E53A14" w:rsidRPr="00950C34">
        <w:rPr>
          <w:rFonts w:asciiTheme="majorBidi" w:hAnsiTheme="majorBidi" w:cstheme="majorBidi"/>
        </w:rPr>
        <w:t>to</w:t>
      </w:r>
      <w:r w:rsidR="005651C5" w:rsidRPr="00950C34">
        <w:rPr>
          <w:rFonts w:asciiTheme="majorBidi" w:hAnsiTheme="majorBidi" w:cstheme="majorBidi"/>
        </w:rPr>
        <w:t xml:space="preserve"> economic</w:t>
      </w:r>
      <w:r w:rsidR="00E53A14" w:rsidRPr="00950C34">
        <w:rPr>
          <w:rFonts w:asciiTheme="majorBidi" w:hAnsiTheme="majorBidi" w:cstheme="majorBidi"/>
        </w:rPr>
        <w:t xml:space="preserve"> growth</w:t>
      </w:r>
      <w:r w:rsidR="005651C5" w:rsidRPr="00950C34">
        <w:rPr>
          <w:rFonts w:asciiTheme="majorBidi" w:hAnsiTheme="majorBidi" w:cstheme="majorBidi"/>
        </w:rPr>
        <w:t>.</w:t>
      </w:r>
      <w:r w:rsidR="001C654B" w:rsidRPr="00950C34">
        <w:rPr>
          <w:rFonts w:asciiTheme="majorBidi" w:hAnsiTheme="majorBidi" w:cstheme="majorBidi"/>
        </w:rPr>
        <w:t xml:space="preserve"> Recently, two similar studies by Lee &amp; Becker</w:t>
      </w:r>
      <w:r w:rsidR="006D7AD8" w:rsidRPr="00950C34">
        <w:rPr>
          <w:rFonts w:asciiTheme="majorBidi" w:hAnsiTheme="majorBidi" w:cstheme="majorBidi"/>
        </w:rPr>
        <w:t xml:space="preserve"> </w:t>
      </w:r>
      <w:r w:rsidR="001C654B" w:rsidRPr="00950C34">
        <w:rPr>
          <w:rFonts w:asciiTheme="majorBidi" w:hAnsiTheme="majorBidi" w:cstheme="majorBidi"/>
        </w:rPr>
        <w:t xml:space="preserve"> (2011)</w:t>
      </w:r>
      <w:r w:rsidR="006D7AD8" w:rsidRPr="00950C34">
        <w:rPr>
          <w:rFonts w:asciiTheme="majorBidi" w:hAnsiTheme="majorBidi" w:cstheme="majorBidi"/>
        </w:rPr>
        <w:t xml:space="preserve"> in one hand</w:t>
      </w:r>
      <w:r w:rsidR="001C654B" w:rsidRPr="00950C34">
        <w:rPr>
          <w:rFonts w:asciiTheme="majorBidi" w:hAnsiTheme="majorBidi" w:cstheme="majorBidi"/>
        </w:rPr>
        <w:t xml:space="preserve"> and Lee, (2011) </w:t>
      </w:r>
      <w:r w:rsidR="006D7AD8" w:rsidRPr="00950C34">
        <w:rPr>
          <w:rFonts w:asciiTheme="majorBidi" w:hAnsiTheme="majorBidi" w:cstheme="majorBidi"/>
        </w:rPr>
        <w:t xml:space="preserve">on the other hand has been done about European Union member countries and three of the Northeast Asian countries (China, Japan and South Korea) respectively. They concluded </w:t>
      </w:r>
      <w:r w:rsidR="007B7510" w:rsidRPr="00950C34">
        <w:rPr>
          <w:rFonts w:asciiTheme="majorBidi" w:hAnsiTheme="majorBidi" w:cstheme="majorBidi"/>
        </w:rPr>
        <w:t xml:space="preserve">that </w:t>
      </w:r>
      <w:r w:rsidR="006D7AD8" w:rsidRPr="00950C34">
        <w:rPr>
          <w:rFonts w:asciiTheme="majorBidi" w:hAnsiTheme="majorBidi" w:cstheme="majorBidi"/>
        </w:rPr>
        <w:t xml:space="preserve">the Granger causality test could not support the causality direction </w:t>
      </w:r>
      <w:r w:rsidR="00182989" w:rsidRPr="00950C34">
        <w:rPr>
          <w:rFonts w:asciiTheme="majorBidi" w:hAnsiTheme="majorBidi" w:cstheme="majorBidi"/>
        </w:rPr>
        <w:t>from ICT to growth</w:t>
      </w:r>
      <w:r w:rsidR="006D7AD8" w:rsidRPr="00950C34">
        <w:rPr>
          <w:rFonts w:asciiTheme="majorBidi" w:hAnsiTheme="majorBidi" w:cstheme="majorBidi"/>
        </w:rPr>
        <w:t xml:space="preserve"> in </w:t>
      </w:r>
      <w:r w:rsidR="007B7510" w:rsidRPr="00950C34">
        <w:rPr>
          <w:rFonts w:asciiTheme="majorBidi" w:hAnsiTheme="majorBidi" w:cstheme="majorBidi"/>
        </w:rPr>
        <w:t>short-run</w:t>
      </w:r>
      <w:r w:rsidR="006D7AD8" w:rsidRPr="00950C34">
        <w:rPr>
          <w:rFonts w:asciiTheme="majorBidi" w:hAnsiTheme="majorBidi" w:cstheme="majorBidi"/>
        </w:rPr>
        <w:t xml:space="preserve">. </w:t>
      </w:r>
      <w:r w:rsidR="00756995" w:rsidRPr="00950C34">
        <w:rPr>
          <w:rFonts w:asciiTheme="majorBidi" w:hAnsiTheme="majorBidi" w:cstheme="majorBidi"/>
        </w:rPr>
        <w:t>Totally, findings of causality analysis in current empirical studies were different</w:t>
      </w:r>
      <w:r w:rsidR="005C4CBF" w:rsidRPr="00950C34">
        <w:rPr>
          <w:rFonts w:asciiTheme="majorBidi" w:hAnsiTheme="majorBidi" w:cstheme="majorBidi"/>
        </w:rPr>
        <w:t xml:space="preserve"> among the countries and it </w:t>
      </w:r>
      <w:r w:rsidR="00756995" w:rsidRPr="00950C34">
        <w:rPr>
          <w:rFonts w:asciiTheme="majorBidi" w:hAnsiTheme="majorBidi" w:cstheme="majorBidi"/>
        </w:rPr>
        <w:t>supports</w:t>
      </w:r>
      <w:r w:rsidR="005C4CBF" w:rsidRPr="00950C34">
        <w:rPr>
          <w:rFonts w:asciiTheme="majorBidi" w:hAnsiTheme="majorBidi" w:cstheme="majorBidi"/>
        </w:rPr>
        <w:t xml:space="preserve"> the idea that</w:t>
      </w:r>
      <w:r w:rsidR="00756995" w:rsidRPr="00950C34">
        <w:rPr>
          <w:rFonts w:asciiTheme="majorBidi" w:hAnsiTheme="majorBidi" w:cstheme="majorBidi"/>
        </w:rPr>
        <w:t xml:space="preserve"> special</w:t>
      </w:r>
      <w:r w:rsidR="00E377CD" w:rsidRPr="00950C34">
        <w:rPr>
          <w:rFonts w:asciiTheme="majorBidi" w:hAnsiTheme="majorBidi" w:cstheme="majorBidi"/>
        </w:rPr>
        <w:t xml:space="preserve"> conditions of each country </w:t>
      </w:r>
      <w:r w:rsidR="005C4CBF" w:rsidRPr="00950C34">
        <w:rPr>
          <w:rFonts w:asciiTheme="majorBidi" w:hAnsiTheme="majorBidi" w:cstheme="majorBidi"/>
        </w:rPr>
        <w:t xml:space="preserve">influence the results of </w:t>
      </w:r>
      <w:r w:rsidR="00182989" w:rsidRPr="00950C34">
        <w:rPr>
          <w:rFonts w:asciiTheme="majorBidi" w:hAnsiTheme="majorBidi" w:cstheme="majorBidi"/>
        </w:rPr>
        <w:t xml:space="preserve">the </w:t>
      </w:r>
      <w:r w:rsidR="005C4CBF" w:rsidRPr="00950C34">
        <w:rPr>
          <w:rFonts w:asciiTheme="majorBidi" w:hAnsiTheme="majorBidi" w:cstheme="majorBidi"/>
        </w:rPr>
        <w:t xml:space="preserve">causality direction between these two variables. </w:t>
      </w:r>
    </w:p>
    <w:p w:rsidR="00393673" w:rsidRPr="00950C34" w:rsidRDefault="00836962" w:rsidP="00F33BC8">
      <w:pPr>
        <w:spacing w:after="0" w:line="240" w:lineRule="auto"/>
        <w:rPr>
          <w:rFonts w:asciiTheme="majorBidi" w:hAnsiTheme="majorBidi" w:cstheme="majorBidi"/>
        </w:rPr>
      </w:pPr>
      <w:r w:rsidRPr="00950C34">
        <w:rPr>
          <w:rFonts w:asciiTheme="majorBidi" w:hAnsiTheme="majorBidi" w:cstheme="majorBidi"/>
        </w:rPr>
        <w:t>Putting all together,</w:t>
      </w:r>
      <w:r w:rsidR="00393673" w:rsidRPr="00950C34">
        <w:rPr>
          <w:rFonts w:asciiTheme="majorBidi" w:hAnsiTheme="majorBidi" w:cstheme="majorBidi"/>
        </w:rPr>
        <w:t xml:space="preserve"> </w:t>
      </w:r>
      <w:r w:rsidR="00872312" w:rsidRPr="00950C34">
        <w:rPr>
          <w:rFonts w:asciiTheme="majorBidi" w:hAnsiTheme="majorBidi" w:cstheme="majorBidi"/>
        </w:rPr>
        <w:t xml:space="preserve">the mixed </w:t>
      </w:r>
      <w:r w:rsidR="00393673" w:rsidRPr="00950C34">
        <w:rPr>
          <w:rFonts w:asciiTheme="majorBidi" w:hAnsiTheme="majorBidi" w:cstheme="majorBidi"/>
        </w:rPr>
        <w:t xml:space="preserve">results from </w:t>
      </w:r>
      <w:r w:rsidR="00872312" w:rsidRPr="00950C34">
        <w:rPr>
          <w:rFonts w:asciiTheme="majorBidi" w:hAnsiTheme="majorBidi" w:cstheme="majorBidi"/>
        </w:rPr>
        <w:t>empirical</w:t>
      </w:r>
      <w:r w:rsidR="00393673" w:rsidRPr="00950C34">
        <w:rPr>
          <w:rFonts w:asciiTheme="majorBidi" w:hAnsiTheme="majorBidi" w:cstheme="majorBidi"/>
        </w:rPr>
        <w:t xml:space="preserve"> causality studies </w:t>
      </w:r>
      <w:r w:rsidR="00C33281" w:rsidRPr="00950C34">
        <w:rPr>
          <w:rFonts w:asciiTheme="majorBidi" w:hAnsiTheme="majorBidi" w:cstheme="majorBidi"/>
        </w:rPr>
        <w:t xml:space="preserve">in </w:t>
      </w:r>
      <w:r w:rsidR="00462FF0" w:rsidRPr="00950C34">
        <w:rPr>
          <w:rFonts w:asciiTheme="majorBidi" w:hAnsiTheme="majorBidi" w:cstheme="majorBidi"/>
        </w:rPr>
        <w:t>current literature</w:t>
      </w:r>
      <w:r w:rsidR="00C33281" w:rsidRPr="00950C34">
        <w:rPr>
          <w:rFonts w:asciiTheme="majorBidi" w:hAnsiTheme="majorBidi" w:cstheme="majorBidi"/>
        </w:rPr>
        <w:t xml:space="preserve"> </w:t>
      </w:r>
      <w:r w:rsidR="00393673" w:rsidRPr="00950C34">
        <w:rPr>
          <w:rFonts w:asciiTheme="majorBidi" w:hAnsiTheme="majorBidi" w:cstheme="majorBidi"/>
        </w:rPr>
        <w:t>indicate either bidirectional</w:t>
      </w:r>
      <w:r w:rsidR="00872312" w:rsidRPr="00950C34">
        <w:rPr>
          <w:rFonts w:asciiTheme="majorBidi" w:hAnsiTheme="majorBidi" w:cstheme="majorBidi"/>
        </w:rPr>
        <w:t>, unidirectional or non-casual</w:t>
      </w:r>
      <w:r w:rsidR="00393673" w:rsidRPr="00950C34">
        <w:rPr>
          <w:rFonts w:asciiTheme="majorBidi" w:hAnsiTheme="majorBidi" w:cstheme="majorBidi"/>
        </w:rPr>
        <w:t xml:space="preserve"> relationship </w:t>
      </w:r>
      <w:r w:rsidR="00872312" w:rsidRPr="00950C34">
        <w:rPr>
          <w:rFonts w:asciiTheme="majorBidi" w:hAnsiTheme="majorBidi" w:cstheme="majorBidi"/>
        </w:rPr>
        <w:t>between</w:t>
      </w:r>
      <w:r w:rsidR="00393673" w:rsidRPr="00950C34">
        <w:rPr>
          <w:rFonts w:asciiTheme="majorBidi" w:hAnsiTheme="majorBidi" w:cstheme="majorBidi"/>
        </w:rPr>
        <w:t xml:space="preserve"> </w:t>
      </w:r>
      <w:r w:rsidR="00872312" w:rsidRPr="00950C34">
        <w:rPr>
          <w:rFonts w:asciiTheme="majorBidi" w:hAnsiTheme="majorBidi" w:cstheme="majorBidi"/>
        </w:rPr>
        <w:t>ICT</w:t>
      </w:r>
      <w:r w:rsidR="00393673" w:rsidRPr="00950C34">
        <w:rPr>
          <w:rFonts w:asciiTheme="majorBidi" w:hAnsiTheme="majorBidi" w:cstheme="majorBidi"/>
        </w:rPr>
        <w:t xml:space="preserve"> development </w:t>
      </w:r>
      <w:r w:rsidR="00872312" w:rsidRPr="00950C34">
        <w:rPr>
          <w:rFonts w:asciiTheme="majorBidi" w:hAnsiTheme="majorBidi" w:cstheme="majorBidi"/>
        </w:rPr>
        <w:t>and</w:t>
      </w:r>
      <w:r w:rsidR="00393673" w:rsidRPr="00950C34">
        <w:rPr>
          <w:rFonts w:asciiTheme="majorBidi" w:hAnsiTheme="majorBidi" w:cstheme="majorBidi"/>
        </w:rPr>
        <w:t xml:space="preserve"> economic growth.</w:t>
      </w:r>
      <w:r w:rsidR="00FE5351" w:rsidRPr="00950C34">
        <w:rPr>
          <w:rFonts w:asciiTheme="majorBidi" w:hAnsiTheme="majorBidi" w:cstheme="majorBidi"/>
        </w:rPr>
        <w:t xml:space="preserve"> In more developed countries and regions with a higher level of income and ICT infrastructure, general</w:t>
      </w:r>
      <w:r w:rsidR="007830BB" w:rsidRPr="00950C34">
        <w:rPr>
          <w:rFonts w:asciiTheme="majorBidi" w:hAnsiTheme="majorBidi" w:cstheme="majorBidi"/>
        </w:rPr>
        <w:t>ly</w:t>
      </w:r>
      <w:r w:rsidR="00FE5351" w:rsidRPr="00950C34">
        <w:rPr>
          <w:rFonts w:asciiTheme="majorBidi" w:hAnsiTheme="majorBidi" w:cstheme="majorBidi"/>
        </w:rPr>
        <w:t xml:space="preserve"> </w:t>
      </w:r>
      <w:r w:rsidR="00C4486D" w:rsidRPr="00950C34">
        <w:rPr>
          <w:rFonts w:asciiTheme="majorBidi" w:hAnsiTheme="majorBidi" w:cstheme="majorBidi"/>
        </w:rPr>
        <w:t>bidirectional</w:t>
      </w:r>
      <w:r w:rsidR="00FE5351" w:rsidRPr="00950C34">
        <w:rPr>
          <w:rFonts w:asciiTheme="majorBidi" w:hAnsiTheme="majorBidi" w:cstheme="majorBidi"/>
        </w:rPr>
        <w:t xml:space="preserve"> causality</w:t>
      </w:r>
      <w:r w:rsidR="00C4486D" w:rsidRPr="00950C34">
        <w:rPr>
          <w:rFonts w:asciiTheme="majorBidi" w:hAnsiTheme="majorBidi" w:cstheme="majorBidi"/>
        </w:rPr>
        <w:t xml:space="preserve"> is evident</w:t>
      </w:r>
      <w:r w:rsidR="00FE5351" w:rsidRPr="00950C34">
        <w:rPr>
          <w:rFonts w:asciiTheme="majorBidi" w:hAnsiTheme="majorBidi" w:cstheme="majorBidi"/>
        </w:rPr>
        <w:t>.</w:t>
      </w:r>
      <w:r w:rsidR="00872312" w:rsidRPr="00950C34">
        <w:rPr>
          <w:rFonts w:asciiTheme="majorBidi" w:hAnsiTheme="majorBidi" w:cstheme="majorBidi"/>
        </w:rPr>
        <w:t xml:space="preserve"> </w:t>
      </w:r>
      <w:r w:rsidR="00C4486D" w:rsidRPr="00950C34">
        <w:rPr>
          <w:rFonts w:asciiTheme="majorBidi" w:hAnsiTheme="majorBidi" w:cstheme="majorBidi"/>
        </w:rPr>
        <w:t xml:space="preserve">Moreover, </w:t>
      </w:r>
      <w:r w:rsidR="00872312" w:rsidRPr="00950C34">
        <w:rPr>
          <w:rFonts w:asciiTheme="majorBidi" w:hAnsiTheme="majorBidi" w:cstheme="majorBidi"/>
        </w:rPr>
        <w:t xml:space="preserve">some findings </w:t>
      </w:r>
      <w:r w:rsidR="00393673" w:rsidRPr="00950C34">
        <w:rPr>
          <w:rFonts w:asciiTheme="majorBidi" w:hAnsiTheme="majorBidi" w:cstheme="majorBidi"/>
        </w:rPr>
        <w:t xml:space="preserve">indicate that </w:t>
      </w:r>
      <w:r w:rsidR="00872312" w:rsidRPr="00950C34">
        <w:rPr>
          <w:rFonts w:asciiTheme="majorBidi" w:hAnsiTheme="majorBidi" w:cstheme="majorBidi"/>
        </w:rPr>
        <w:t xml:space="preserve">the direction of causality </w:t>
      </w:r>
      <w:r w:rsidR="007830BB" w:rsidRPr="00950C34">
        <w:rPr>
          <w:rFonts w:asciiTheme="majorBidi" w:hAnsiTheme="majorBidi" w:cstheme="majorBidi"/>
        </w:rPr>
        <w:t>is dependent</w:t>
      </w:r>
      <w:r w:rsidR="00872312" w:rsidRPr="00950C34">
        <w:rPr>
          <w:rFonts w:asciiTheme="majorBidi" w:hAnsiTheme="majorBidi" w:cstheme="majorBidi"/>
        </w:rPr>
        <w:t xml:space="preserve"> on various factors of each country such as the level of income, ICT infrastructure, privatization</w:t>
      </w:r>
      <w:r w:rsidR="007830BB" w:rsidRPr="00950C34">
        <w:rPr>
          <w:rFonts w:asciiTheme="majorBidi" w:hAnsiTheme="majorBidi" w:cstheme="majorBidi"/>
        </w:rPr>
        <w:t>,</w:t>
      </w:r>
      <w:r w:rsidR="00872312" w:rsidRPr="00950C34">
        <w:rPr>
          <w:rFonts w:asciiTheme="majorBidi" w:hAnsiTheme="majorBidi" w:cstheme="majorBidi"/>
        </w:rPr>
        <w:t xml:space="preserve"> and so on. However, </w:t>
      </w:r>
      <w:r w:rsidR="00CE0329" w:rsidRPr="00950C34">
        <w:rPr>
          <w:rFonts w:asciiTheme="majorBidi" w:hAnsiTheme="majorBidi" w:cstheme="majorBidi"/>
        </w:rPr>
        <w:t>the subject of reverse or direction of causality in less developed countries is still under debate.</w:t>
      </w:r>
      <w:r w:rsidR="00872312" w:rsidRPr="00950C34">
        <w:rPr>
          <w:rFonts w:asciiTheme="majorBidi" w:hAnsiTheme="majorBidi" w:cstheme="majorBidi"/>
        </w:rPr>
        <w:t xml:space="preserve"> </w:t>
      </w:r>
      <w:r w:rsidR="00501A28" w:rsidRPr="00950C34">
        <w:rPr>
          <w:rFonts w:asciiTheme="majorBidi" w:hAnsiTheme="majorBidi" w:cstheme="majorBidi"/>
        </w:rPr>
        <w:t xml:space="preserve">Thus, </w:t>
      </w:r>
      <w:r w:rsidR="00D4744A" w:rsidRPr="00950C34">
        <w:rPr>
          <w:rFonts w:asciiTheme="majorBidi" w:hAnsiTheme="majorBidi" w:cstheme="majorBidi"/>
        </w:rPr>
        <w:t>it is desirable for any developing country with ICT development strategy to carry out a carefu</w:t>
      </w:r>
      <w:r w:rsidR="00C4486D" w:rsidRPr="00950C34">
        <w:rPr>
          <w:rFonts w:asciiTheme="majorBidi" w:hAnsiTheme="majorBidi" w:cstheme="majorBidi"/>
        </w:rPr>
        <w:t>l empirical causality analysis, since t</w:t>
      </w:r>
      <w:r w:rsidR="00D4744A" w:rsidRPr="00950C34">
        <w:rPr>
          <w:rFonts w:asciiTheme="majorBidi" w:hAnsiTheme="majorBidi" w:cstheme="majorBidi"/>
        </w:rPr>
        <w:t>he results of the causality test can help the national planer to make policies of allocation restricted resources for boosting national economy.</w:t>
      </w:r>
      <w:r w:rsidR="00D578AB" w:rsidRPr="00950C34">
        <w:rPr>
          <w:rFonts w:asciiTheme="majorBidi" w:hAnsiTheme="majorBidi" w:cstheme="majorBidi"/>
        </w:rPr>
        <w:t xml:space="preserve"> On the assumption that,</w:t>
      </w:r>
      <w:r w:rsidR="008B6AC7" w:rsidRPr="00950C34">
        <w:rPr>
          <w:rFonts w:asciiTheme="majorBidi" w:hAnsiTheme="majorBidi" w:cstheme="majorBidi"/>
        </w:rPr>
        <w:t xml:space="preserve"> </w:t>
      </w:r>
      <w:r w:rsidR="00D4744A" w:rsidRPr="00950C34">
        <w:rPr>
          <w:rFonts w:asciiTheme="majorBidi" w:hAnsiTheme="majorBidi" w:cstheme="majorBidi"/>
        </w:rPr>
        <w:t xml:space="preserve">empirical evidence </w:t>
      </w:r>
      <w:r w:rsidR="00D578AB" w:rsidRPr="00950C34">
        <w:rPr>
          <w:rFonts w:asciiTheme="majorBidi" w:hAnsiTheme="majorBidi" w:cstheme="majorBidi"/>
        </w:rPr>
        <w:t>supports</w:t>
      </w:r>
      <w:r w:rsidR="00D4744A" w:rsidRPr="00950C34">
        <w:rPr>
          <w:rFonts w:asciiTheme="majorBidi" w:hAnsiTheme="majorBidi" w:cstheme="majorBidi"/>
        </w:rPr>
        <w:t xml:space="preserve"> causality running form ICT in</w:t>
      </w:r>
      <w:r w:rsidR="00D578AB" w:rsidRPr="00950C34">
        <w:rPr>
          <w:rFonts w:asciiTheme="majorBidi" w:hAnsiTheme="majorBidi" w:cstheme="majorBidi"/>
        </w:rPr>
        <w:t xml:space="preserve">frastructure to economic growth in short and long run, then the </w:t>
      </w:r>
      <w:r w:rsidR="00D4744A" w:rsidRPr="00950C34">
        <w:rPr>
          <w:rFonts w:asciiTheme="majorBidi" w:hAnsiTheme="majorBidi" w:cstheme="majorBidi"/>
        </w:rPr>
        <w:t xml:space="preserve">resources </w:t>
      </w:r>
      <w:r w:rsidR="00D578AB" w:rsidRPr="00950C34">
        <w:rPr>
          <w:rFonts w:asciiTheme="majorBidi" w:hAnsiTheme="majorBidi" w:cstheme="majorBidi"/>
        </w:rPr>
        <w:t xml:space="preserve">should be </w:t>
      </w:r>
      <w:r w:rsidR="00D4744A" w:rsidRPr="00950C34">
        <w:rPr>
          <w:rFonts w:asciiTheme="majorBidi" w:hAnsiTheme="majorBidi" w:cstheme="majorBidi"/>
        </w:rPr>
        <w:t>allocated to ICT-industry sector. While, for causality evidence in the opposite direction more resourc</w:t>
      </w:r>
      <w:r w:rsidR="00D578AB" w:rsidRPr="00950C34">
        <w:rPr>
          <w:rFonts w:asciiTheme="majorBidi" w:hAnsiTheme="majorBidi" w:cstheme="majorBidi"/>
        </w:rPr>
        <w:t>es should be allocated to other</w:t>
      </w:r>
      <w:r w:rsidR="00D4744A" w:rsidRPr="00950C34">
        <w:rPr>
          <w:rFonts w:asciiTheme="majorBidi" w:hAnsiTheme="majorBidi" w:cstheme="majorBidi"/>
        </w:rPr>
        <w:t xml:space="preserve"> most important industries for boosting national economy</w:t>
      </w:r>
      <w:r w:rsidR="00D578AB" w:rsidRPr="00950C34">
        <w:rPr>
          <w:rFonts w:asciiTheme="majorBidi" w:hAnsiTheme="majorBidi" w:cstheme="majorBidi"/>
        </w:rPr>
        <w:t>,</w:t>
      </w:r>
      <w:r w:rsidR="00D4744A" w:rsidRPr="00950C34">
        <w:rPr>
          <w:rFonts w:asciiTheme="majorBidi" w:hAnsiTheme="majorBidi" w:cstheme="majorBidi"/>
        </w:rPr>
        <w:t xml:space="preserve"> so the ICT-industry sector will benefit from economic growth.</w:t>
      </w:r>
    </w:p>
    <w:p w:rsidR="00863F91" w:rsidRDefault="00863F91" w:rsidP="00F33BC8">
      <w:pPr>
        <w:spacing w:after="0" w:line="240" w:lineRule="auto"/>
        <w:rPr>
          <w:rFonts w:asciiTheme="majorBidi" w:hAnsiTheme="majorBidi" w:cstheme="majorBidi"/>
        </w:rPr>
      </w:pPr>
    </w:p>
    <w:p w:rsidR="00CE4963" w:rsidRPr="00950C34" w:rsidRDefault="00CE4963" w:rsidP="00F33BC8">
      <w:pPr>
        <w:spacing w:after="0" w:line="240" w:lineRule="auto"/>
        <w:rPr>
          <w:rFonts w:asciiTheme="majorBidi" w:hAnsiTheme="majorBidi" w:cstheme="majorBidi"/>
        </w:rPr>
      </w:pPr>
    </w:p>
    <w:p w:rsidR="003D7D93" w:rsidRPr="00950C34" w:rsidRDefault="009C3748" w:rsidP="00F33BC8">
      <w:pPr>
        <w:pStyle w:val="ListParagraph"/>
        <w:numPr>
          <w:ilvl w:val="0"/>
          <w:numId w:val="1"/>
        </w:numPr>
        <w:spacing w:after="0" w:line="240" w:lineRule="auto"/>
        <w:ind w:left="0" w:firstLine="0"/>
        <w:rPr>
          <w:rFonts w:asciiTheme="majorBidi" w:hAnsiTheme="majorBidi" w:cstheme="majorBidi"/>
          <w:b/>
          <w:bCs/>
          <w:sz w:val="28"/>
          <w:szCs w:val="28"/>
        </w:rPr>
      </w:pPr>
      <w:r w:rsidRPr="00950C34">
        <w:rPr>
          <w:rFonts w:asciiTheme="majorBidi" w:hAnsiTheme="majorBidi" w:cstheme="majorBidi"/>
          <w:b/>
          <w:bCs/>
          <w:sz w:val="28"/>
          <w:szCs w:val="28"/>
        </w:rPr>
        <w:t>OVERVIEW OF IRAN’S TELECOMMUNICATION</w:t>
      </w:r>
    </w:p>
    <w:p w:rsidR="00927EC3" w:rsidRPr="00950C34" w:rsidRDefault="00927EC3" w:rsidP="00F33BC8">
      <w:pPr>
        <w:spacing w:after="0" w:line="240" w:lineRule="auto"/>
        <w:rPr>
          <w:rFonts w:asciiTheme="majorBidi" w:hAnsiTheme="majorBidi" w:cstheme="majorBidi"/>
        </w:rPr>
      </w:pPr>
      <w:r w:rsidRPr="00950C34">
        <w:rPr>
          <w:rFonts w:asciiTheme="majorBidi" w:hAnsiTheme="majorBidi" w:cstheme="majorBidi"/>
        </w:rPr>
        <w:t>The economy of Iran known as a resource-rich and labor-rich economy in the Middle East is a transition economy with a large public sector and exports which are dominated by oil and gas. In spite of the serious national problems, Iran has a high potential of becoming one of the world's largest economies, hence it has defined a twenty- year vision, a plan for long-term sustainable growth.</w:t>
      </w:r>
    </w:p>
    <w:p w:rsidR="00927EC3" w:rsidRPr="00950C34" w:rsidRDefault="00927EC3" w:rsidP="00F33BC8">
      <w:pPr>
        <w:tabs>
          <w:tab w:val="left" w:pos="9090"/>
        </w:tabs>
        <w:spacing w:after="0" w:line="240" w:lineRule="auto"/>
        <w:ind w:right="270"/>
        <w:rPr>
          <w:rFonts w:asciiTheme="majorBidi" w:hAnsiTheme="majorBidi" w:cstheme="majorBidi"/>
        </w:rPr>
      </w:pPr>
      <w:r w:rsidRPr="00950C34">
        <w:rPr>
          <w:rFonts w:asciiTheme="majorBidi" w:hAnsiTheme="majorBidi" w:cstheme="majorBidi"/>
        </w:rPr>
        <w:lastRenderedPageBreak/>
        <w:t xml:space="preserve">“Being the first rank in economy, science, and technology in the region, keeping pace with the increasingly progressive growth of science... </w:t>
      </w:r>
      <w:r w:rsidR="00F33BC8" w:rsidRPr="00950C34">
        <w:rPr>
          <w:rFonts w:asciiTheme="majorBidi" w:hAnsiTheme="majorBidi" w:cstheme="majorBidi"/>
        </w:rPr>
        <w:t>“</w:t>
      </w:r>
      <w:r w:rsidR="00F33BC8">
        <w:rPr>
          <w:rFonts w:asciiTheme="majorBidi" w:hAnsiTheme="majorBidi" w:cstheme="majorBidi"/>
        </w:rPr>
        <w:t>(</w:t>
      </w:r>
      <w:r w:rsidR="00F33BC8" w:rsidRPr="00F33BC8">
        <w:rPr>
          <w:rFonts w:asciiTheme="majorBidi" w:hAnsiTheme="majorBidi" w:cstheme="majorBidi"/>
        </w:rPr>
        <w:t>Vision, Iran 1404/2025</w:t>
      </w:r>
      <w:r w:rsidR="00F33BC8">
        <w:rPr>
          <w:rFonts w:asciiTheme="majorBidi" w:hAnsiTheme="majorBidi" w:cstheme="majorBidi"/>
        </w:rPr>
        <w:t>)</w:t>
      </w:r>
    </w:p>
    <w:p w:rsidR="00927EC3" w:rsidRPr="00950C34" w:rsidRDefault="00927EC3" w:rsidP="00F33BC8">
      <w:pPr>
        <w:spacing w:after="0" w:line="240" w:lineRule="auto"/>
        <w:rPr>
          <w:rFonts w:asciiTheme="majorBidi" w:hAnsiTheme="majorBidi" w:cstheme="majorBidi"/>
        </w:rPr>
      </w:pPr>
      <w:r w:rsidRPr="00950C34">
        <w:rPr>
          <w:rFonts w:asciiTheme="majorBidi" w:hAnsiTheme="majorBidi" w:cstheme="majorBidi"/>
        </w:rPr>
        <w:t>It is clear that based on this statement, information, knowledge and technology are increasingly becoming the key drivers for socio-economic development in Iran. It is acknowledged that in the new information age, the government has recognized the crucial role that ICTs can play in facilitating and accelerating economic growth.</w:t>
      </w:r>
    </w:p>
    <w:p w:rsidR="003A474E" w:rsidRPr="00950C34" w:rsidRDefault="00927EC3" w:rsidP="00F33BC8">
      <w:pPr>
        <w:spacing w:after="0" w:line="240" w:lineRule="auto"/>
        <w:rPr>
          <w:rFonts w:asciiTheme="majorBidi" w:hAnsiTheme="majorBidi" w:cstheme="majorBidi"/>
        </w:rPr>
      </w:pPr>
      <w:r w:rsidRPr="00950C34">
        <w:rPr>
          <w:rFonts w:asciiTheme="majorBidi" w:hAnsiTheme="majorBidi" w:cstheme="majorBidi"/>
        </w:rPr>
        <w:t xml:space="preserve">As a result of </w:t>
      </w:r>
      <w:r w:rsidR="00C01B11" w:rsidRPr="00950C34">
        <w:rPr>
          <w:rFonts w:asciiTheme="majorBidi" w:hAnsiTheme="majorBidi" w:cstheme="majorBidi"/>
        </w:rPr>
        <w:t>serious</w:t>
      </w:r>
      <w:r w:rsidRPr="00950C34">
        <w:rPr>
          <w:rFonts w:asciiTheme="majorBidi" w:hAnsiTheme="majorBidi" w:cstheme="majorBidi"/>
        </w:rPr>
        <w:t xml:space="preserve"> investment in the telecommunication system in Iran since 1995, the number of telephone lines and cellular phone</w:t>
      </w:r>
      <w:r w:rsidR="00C01B11" w:rsidRPr="00950C34">
        <w:rPr>
          <w:rFonts w:asciiTheme="majorBidi" w:hAnsiTheme="majorBidi" w:cstheme="majorBidi"/>
        </w:rPr>
        <w:t>s</w:t>
      </w:r>
      <w:r w:rsidRPr="00950C34">
        <w:rPr>
          <w:rFonts w:asciiTheme="majorBidi" w:hAnsiTheme="majorBidi" w:cstheme="majorBidi"/>
        </w:rPr>
        <w:t xml:space="preserve"> has grown rapidly. According to the databases of the International Telecommunications Union (ITU)</w:t>
      </w:r>
      <w:r w:rsidR="003824FD" w:rsidRPr="00950C34">
        <w:rPr>
          <w:rFonts w:asciiTheme="majorBidi" w:hAnsiTheme="majorBidi" w:cstheme="majorBidi"/>
        </w:rPr>
        <w:t xml:space="preserve"> (2011)</w:t>
      </w:r>
      <w:r w:rsidRPr="00950C34">
        <w:rPr>
          <w:rFonts w:asciiTheme="majorBidi" w:hAnsiTheme="majorBidi" w:cstheme="majorBidi"/>
        </w:rPr>
        <w:t xml:space="preserve">, </w:t>
      </w:r>
      <w:r w:rsidR="00707AA8" w:rsidRPr="00950C34">
        <w:rPr>
          <w:rFonts w:asciiTheme="majorBidi" w:hAnsiTheme="majorBidi" w:cstheme="majorBidi"/>
        </w:rPr>
        <w:t>t</w:t>
      </w:r>
      <w:r w:rsidRPr="00950C34">
        <w:rPr>
          <w:rFonts w:asciiTheme="majorBidi" w:hAnsiTheme="majorBidi" w:cstheme="majorBidi"/>
        </w:rPr>
        <w:t>he mobile penetration rate from 0.03</w:t>
      </w:r>
      <w:r w:rsidR="009341B6" w:rsidRPr="00950C34">
        <w:rPr>
          <w:rFonts w:asciiTheme="majorBidi" w:hAnsiTheme="majorBidi" w:cstheme="majorBidi"/>
        </w:rPr>
        <w:t>%</w:t>
      </w:r>
      <w:r w:rsidRPr="00950C34">
        <w:rPr>
          <w:rFonts w:asciiTheme="majorBidi" w:hAnsiTheme="majorBidi" w:cstheme="majorBidi"/>
        </w:rPr>
        <w:t xml:space="preserve"> in 1995 has reached to 71</w:t>
      </w:r>
      <w:r w:rsidR="009341B6" w:rsidRPr="00950C34">
        <w:rPr>
          <w:rFonts w:asciiTheme="majorBidi" w:hAnsiTheme="majorBidi" w:cstheme="majorBidi"/>
        </w:rPr>
        <w:t>%</w:t>
      </w:r>
      <w:r w:rsidRPr="00950C34">
        <w:rPr>
          <w:rFonts w:asciiTheme="majorBidi" w:hAnsiTheme="majorBidi" w:cstheme="majorBidi"/>
        </w:rPr>
        <w:t xml:space="preserve"> in 2009, with a total of over 52.5 million subscribers. This rate was more than 91</w:t>
      </w:r>
      <w:r w:rsidR="009341B6" w:rsidRPr="00950C34">
        <w:rPr>
          <w:rFonts w:asciiTheme="majorBidi" w:hAnsiTheme="majorBidi" w:cstheme="majorBidi"/>
        </w:rPr>
        <w:t>%</w:t>
      </w:r>
      <w:r w:rsidRPr="00950C34">
        <w:rPr>
          <w:rFonts w:asciiTheme="majorBidi" w:hAnsiTheme="majorBidi" w:cstheme="majorBidi"/>
        </w:rPr>
        <w:t xml:space="preserve"> in 2010 (World Bank, 2011). According to the Knowledge Assessment Methodology (KAM) index produced by the World Bank in 2012, Iran has made improvement on providing infrastructure information </w:t>
      </w:r>
      <w:r w:rsidR="00C01B11" w:rsidRPr="00950C34">
        <w:rPr>
          <w:rFonts w:asciiTheme="majorBidi" w:hAnsiTheme="majorBidi" w:cstheme="majorBidi"/>
        </w:rPr>
        <w:t>yet it</w:t>
      </w:r>
      <w:r w:rsidRPr="00950C34">
        <w:rPr>
          <w:rFonts w:asciiTheme="majorBidi" w:hAnsiTheme="majorBidi" w:cstheme="majorBidi"/>
        </w:rPr>
        <w:t xml:space="preserve"> </w:t>
      </w:r>
      <w:r w:rsidR="00C01B11" w:rsidRPr="00950C34">
        <w:rPr>
          <w:rFonts w:asciiTheme="majorBidi" w:hAnsiTheme="majorBidi" w:cstheme="majorBidi"/>
        </w:rPr>
        <w:t>possessed the</w:t>
      </w:r>
      <w:r w:rsidRPr="00950C34">
        <w:rPr>
          <w:rFonts w:asciiTheme="majorBidi" w:hAnsiTheme="majorBidi" w:cstheme="majorBidi"/>
        </w:rPr>
        <w:t xml:space="preserve"> rank of 94 among 146 countries.</w:t>
      </w:r>
      <w:r w:rsidR="000C10F5" w:rsidRPr="00950C34">
        <w:rPr>
          <w:rFonts w:asciiTheme="majorBidi" w:hAnsiTheme="majorBidi" w:cstheme="majorBidi"/>
        </w:rPr>
        <w:t xml:space="preserve"> </w:t>
      </w:r>
      <w:r w:rsidR="00C01B11" w:rsidRPr="00950C34">
        <w:rPr>
          <w:rFonts w:asciiTheme="majorBidi" w:hAnsiTheme="majorBidi" w:cstheme="majorBidi"/>
        </w:rPr>
        <w:t xml:space="preserve">In addition, </w:t>
      </w:r>
      <w:r w:rsidR="000C10F5" w:rsidRPr="00950C34">
        <w:rPr>
          <w:rFonts w:asciiTheme="majorBidi" w:hAnsiTheme="majorBidi" w:cstheme="majorBidi"/>
        </w:rPr>
        <w:t xml:space="preserve">reports have pointed out that the ICT sector in Iran faces a number of important challenges such as instability of government’s rules, United Nations sanctions, lack of consistent strategies and cohesive plans </w:t>
      </w:r>
      <w:r w:rsidR="00C01B11" w:rsidRPr="00950C34">
        <w:rPr>
          <w:rFonts w:asciiTheme="majorBidi" w:hAnsiTheme="majorBidi" w:cstheme="majorBidi"/>
        </w:rPr>
        <w:t>that</w:t>
      </w:r>
      <w:r w:rsidR="000C10F5" w:rsidRPr="00950C34">
        <w:rPr>
          <w:rFonts w:asciiTheme="majorBidi" w:hAnsiTheme="majorBidi" w:cstheme="majorBidi"/>
        </w:rPr>
        <w:t xml:space="preserve"> </w:t>
      </w:r>
      <w:r w:rsidR="00C01B11" w:rsidRPr="00950C34">
        <w:rPr>
          <w:rFonts w:asciiTheme="majorBidi" w:hAnsiTheme="majorBidi" w:cstheme="majorBidi"/>
        </w:rPr>
        <w:t>hinder</w:t>
      </w:r>
      <w:r w:rsidR="000C10F5" w:rsidRPr="00950C34">
        <w:rPr>
          <w:rFonts w:asciiTheme="majorBidi" w:hAnsiTheme="majorBidi" w:cstheme="majorBidi"/>
        </w:rPr>
        <w:t xml:space="preserve"> ICT strategy efforts (Digital Review of Asia Paciﬁc, 200</w:t>
      </w:r>
      <w:r w:rsidR="00E4172C" w:rsidRPr="00950C34">
        <w:rPr>
          <w:rFonts w:asciiTheme="majorBidi" w:hAnsiTheme="majorBidi" w:cstheme="majorBidi"/>
        </w:rPr>
        <w:t>7</w:t>
      </w:r>
      <w:r w:rsidR="000C10F5" w:rsidRPr="00950C34">
        <w:rPr>
          <w:rFonts w:asciiTheme="majorBidi" w:hAnsiTheme="majorBidi" w:cstheme="majorBidi"/>
        </w:rPr>
        <w:t>- 200</w:t>
      </w:r>
      <w:r w:rsidR="00E4172C" w:rsidRPr="00950C34">
        <w:rPr>
          <w:rFonts w:asciiTheme="majorBidi" w:hAnsiTheme="majorBidi" w:cstheme="majorBidi"/>
        </w:rPr>
        <w:t>8</w:t>
      </w:r>
      <w:r w:rsidR="000C10F5" w:rsidRPr="00950C34">
        <w:rPr>
          <w:rFonts w:asciiTheme="majorBidi" w:hAnsiTheme="majorBidi" w:cstheme="majorBidi"/>
        </w:rPr>
        <w:t xml:space="preserve"> and 2009–2010).</w:t>
      </w:r>
    </w:p>
    <w:p w:rsidR="00AF728E" w:rsidRPr="00950C34" w:rsidRDefault="000C10F5" w:rsidP="00F33BC8">
      <w:pPr>
        <w:spacing w:after="0" w:line="240" w:lineRule="auto"/>
        <w:rPr>
          <w:rFonts w:asciiTheme="majorBidi" w:hAnsiTheme="majorBidi" w:cstheme="majorBidi"/>
        </w:rPr>
      </w:pPr>
      <w:r w:rsidRPr="00950C34">
        <w:rPr>
          <w:rFonts w:asciiTheme="majorBidi" w:hAnsiTheme="majorBidi" w:cstheme="majorBidi"/>
        </w:rPr>
        <w:t xml:space="preserve"> </w:t>
      </w:r>
      <w:r w:rsidR="00163B63" w:rsidRPr="00950C34">
        <w:rPr>
          <w:rFonts w:asciiTheme="majorBidi" w:hAnsiTheme="majorBidi" w:cstheme="majorBidi"/>
        </w:rPr>
        <w:t>All in all</w:t>
      </w:r>
      <w:r w:rsidR="003A474E" w:rsidRPr="00950C34">
        <w:rPr>
          <w:rFonts w:asciiTheme="majorBidi" w:hAnsiTheme="majorBidi" w:cstheme="majorBidi"/>
        </w:rPr>
        <w:t>,</w:t>
      </w:r>
      <w:r w:rsidR="006A0D71" w:rsidRPr="00950C34">
        <w:rPr>
          <w:rFonts w:asciiTheme="majorBidi" w:hAnsiTheme="majorBidi" w:cstheme="majorBidi"/>
        </w:rPr>
        <w:t xml:space="preserve"> </w:t>
      </w:r>
      <w:r w:rsidR="00927EC3" w:rsidRPr="00950C34">
        <w:rPr>
          <w:rFonts w:asciiTheme="majorBidi" w:hAnsiTheme="majorBidi" w:cstheme="majorBidi"/>
        </w:rPr>
        <w:t xml:space="preserve">Iran as a developing country with a number of significant economic challenges, tries to enjoy contribution of </w:t>
      </w:r>
      <w:r w:rsidR="00B55917" w:rsidRPr="00950C34">
        <w:rPr>
          <w:rFonts w:asciiTheme="majorBidi" w:hAnsiTheme="majorBidi" w:cstheme="majorBidi"/>
        </w:rPr>
        <w:t>telecommunication</w:t>
      </w:r>
      <w:r w:rsidR="00927EC3" w:rsidRPr="00950C34">
        <w:rPr>
          <w:rFonts w:asciiTheme="majorBidi" w:hAnsiTheme="majorBidi" w:cstheme="majorBidi"/>
        </w:rPr>
        <w:t xml:space="preserve"> investment.</w:t>
      </w:r>
      <w:r w:rsidRPr="00950C34">
        <w:rPr>
          <w:rFonts w:asciiTheme="majorBidi" w:hAnsiTheme="majorBidi" w:cstheme="majorBidi"/>
        </w:rPr>
        <w:t xml:space="preserve"> But</w:t>
      </w:r>
      <w:r w:rsidR="003A474E" w:rsidRPr="00950C34">
        <w:rPr>
          <w:rFonts w:asciiTheme="majorBidi" w:hAnsiTheme="majorBidi" w:cstheme="majorBidi"/>
        </w:rPr>
        <w:t xml:space="preserve"> </w:t>
      </w:r>
      <w:r w:rsidR="00B55917" w:rsidRPr="00950C34">
        <w:rPr>
          <w:rFonts w:asciiTheme="majorBidi" w:hAnsiTheme="majorBidi" w:cstheme="majorBidi"/>
        </w:rPr>
        <w:t>does telecommunication development le</w:t>
      </w:r>
      <w:r w:rsidR="00AF728E" w:rsidRPr="00950C34">
        <w:rPr>
          <w:rFonts w:asciiTheme="majorBidi" w:hAnsiTheme="majorBidi" w:cstheme="majorBidi"/>
        </w:rPr>
        <w:t>a</w:t>
      </w:r>
      <w:r w:rsidR="00B55917" w:rsidRPr="00950C34">
        <w:rPr>
          <w:rFonts w:asciiTheme="majorBidi" w:hAnsiTheme="majorBidi" w:cstheme="majorBidi"/>
        </w:rPr>
        <w:t xml:space="preserve">d to economic boosting? </w:t>
      </w:r>
      <w:r w:rsidR="00D96A76" w:rsidRPr="00950C34">
        <w:rPr>
          <w:rFonts w:asciiTheme="majorBidi" w:hAnsiTheme="majorBidi" w:cstheme="majorBidi"/>
        </w:rPr>
        <w:t>Or</w:t>
      </w:r>
      <w:r w:rsidR="00B55917" w:rsidRPr="00950C34">
        <w:rPr>
          <w:rFonts w:asciiTheme="majorBidi" w:hAnsiTheme="majorBidi" w:cstheme="majorBidi"/>
        </w:rPr>
        <w:t xml:space="preserve"> opposite direction</w:t>
      </w:r>
      <w:r w:rsidR="00B404F6" w:rsidRPr="00950C34">
        <w:rPr>
          <w:rFonts w:asciiTheme="majorBidi" w:hAnsiTheme="majorBidi" w:cstheme="majorBidi"/>
        </w:rPr>
        <w:t xml:space="preserve"> holds?</w:t>
      </w:r>
      <w:r w:rsidR="00D96A76" w:rsidRPr="00950C34">
        <w:rPr>
          <w:rFonts w:asciiTheme="majorBidi" w:hAnsiTheme="majorBidi" w:cstheme="majorBidi"/>
        </w:rPr>
        <w:t xml:space="preserve"> </w:t>
      </w:r>
      <w:r w:rsidR="003A474E" w:rsidRPr="00950C34">
        <w:rPr>
          <w:rFonts w:asciiTheme="majorBidi" w:hAnsiTheme="majorBidi" w:cstheme="majorBidi"/>
        </w:rPr>
        <w:t>As a matter of fact,</w:t>
      </w:r>
      <w:r w:rsidR="004E5A90" w:rsidRPr="00950C34">
        <w:rPr>
          <w:rFonts w:asciiTheme="majorBidi" w:hAnsiTheme="majorBidi" w:cstheme="majorBidi"/>
        </w:rPr>
        <w:t xml:space="preserve"> it is difficult to determinate </w:t>
      </w:r>
      <w:r w:rsidR="00917A4C" w:rsidRPr="00950C34">
        <w:rPr>
          <w:rFonts w:asciiTheme="majorBidi" w:hAnsiTheme="majorBidi" w:cstheme="majorBidi"/>
        </w:rPr>
        <w:t xml:space="preserve">contribution of ICT infrastructure and </w:t>
      </w:r>
      <w:r w:rsidR="00D96A76" w:rsidRPr="00950C34">
        <w:rPr>
          <w:rFonts w:asciiTheme="majorBidi" w:hAnsiTheme="majorBidi" w:cstheme="majorBidi"/>
        </w:rPr>
        <w:t>the causality direction of</w:t>
      </w:r>
      <w:r w:rsidR="003A474E" w:rsidRPr="00950C34">
        <w:rPr>
          <w:rFonts w:asciiTheme="majorBidi" w:hAnsiTheme="majorBidi" w:cstheme="majorBidi"/>
        </w:rPr>
        <w:t xml:space="preserve"> ICT development and economic growth</w:t>
      </w:r>
      <w:r w:rsidR="006C4E46" w:rsidRPr="00950C34">
        <w:rPr>
          <w:rFonts w:asciiTheme="majorBidi" w:hAnsiTheme="majorBidi" w:cstheme="majorBidi"/>
        </w:rPr>
        <w:t xml:space="preserve"> based on the current literature</w:t>
      </w:r>
      <w:r w:rsidR="003A474E" w:rsidRPr="00950C34">
        <w:rPr>
          <w:rFonts w:asciiTheme="majorBidi" w:hAnsiTheme="majorBidi" w:cstheme="majorBidi"/>
        </w:rPr>
        <w:t>.</w:t>
      </w:r>
      <w:r w:rsidR="00AF728E" w:rsidRPr="00950C34">
        <w:rPr>
          <w:rFonts w:asciiTheme="majorBidi" w:hAnsiTheme="majorBidi" w:cstheme="majorBidi"/>
        </w:rPr>
        <w:t xml:space="preserve"> Here, the empirical evidence causality test enables us to determine this cause and effect relationship under the condition of Iran’s economy.</w:t>
      </w:r>
    </w:p>
    <w:p w:rsidR="009C3748" w:rsidRDefault="009C3748" w:rsidP="00F33BC8">
      <w:pPr>
        <w:spacing w:after="0" w:line="240" w:lineRule="auto"/>
        <w:rPr>
          <w:rFonts w:asciiTheme="majorBidi" w:hAnsiTheme="majorBidi" w:cstheme="majorBidi"/>
        </w:rPr>
      </w:pPr>
    </w:p>
    <w:p w:rsidR="00CE4963" w:rsidRPr="00950C34" w:rsidRDefault="00CE4963" w:rsidP="00F33BC8">
      <w:pPr>
        <w:spacing w:after="0" w:line="240" w:lineRule="auto"/>
        <w:rPr>
          <w:rFonts w:asciiTheme="majorBidi" w:hAnsiTheme="majorBidi" w:cstheme="majorBidi"/>
        </w:rPr>
      </w:pPr>
    </w:p>
    <w:p w:rsidR="00185E19" w:rsidRPr="00950C34" w:rsidRDefault="009C3748" w:rsidP="00F33BC8">
      <w:pPr>
        <w:pStyle w:val="ListParagraph"/>
        <w:numPr>
          <w:ilvl w:val="0"/>
          <w:numId w:val="1"/>
        </w:numPr>
        <w:spacing w:after="0" w:line="240" w:lineRule="auto"/>
        <w:ind w:left="0" w:firstLine="0"/>
        <w:rPr>
          <w:rFonts w:asciiTheme="majorBidi" w:hAnsiTheme="majorBidi" w:cstheme="majorBidi"/>
          <w:b/>
          <w:bCs/>
          <w:sz w:val="28"/>
          <w:szCs w:val="28"/>
        </w:rPr>
      </w:pPr>
      <w:r w:rsidRPr="00950C34">
        <w:rPr>
          <w:rFonts w:asciiTheme="majorBidi" w:hAnsiTheme="majorBidi" w:cstheme="majorBidi"/>
          <w:b/>
          <w:bCs/>
          <w:sz w:val="28"/>
          <w:szCs w:val="28"/>
        </w:rPr>
        <w:t>DATA and METHODOLOGY</w:t>
      </w:r>
    </w:p>
    <w:p w:rsidR="00CE4963" w:rsidRPr="00CE4963" w:rsidRDefault="00CE4963" w:rsidP="00F33BC8">
      <w:pPr>
        <w:tabs>
          <w:tab w:val="left" w:pos="1382"/>
          <w:tab w:val="left" w:pos="7857"/>
        </w:tabs>
        <w:spacing w:after="0" w:line="240" w:lineRule="auto"/>
        <w:rPr>
          <w:rFonts w:asciiTheme="majorBidi" w:hAnsiTheme="majorBidi" w:cstheme="majorBidi"/>
          <w:b/>
          <w:bCs/>
          <w:iCs/>
        </w:rPr>
      </w:pPr>
    </w:p>
    <w:p w:rsidR="00CE4963" w:rsidRPr="00CE4963" w:rsidRDefault="00CE4963" w:rsidP="00F33BC8">
      <w:pPr>
        <w:tabs>
          <w:tab w:val="left" w:pos="1382"/>
          <w:tab w:val="left" w:pos="7857"/>
        </w:tabs>
        <w:spacing w:after="0" w:line="240" w:lineRule="auto"/>
        <w:rPr>
          <w:rFonts w:asciiTheme="majorBidi" w:hAnsiTheme="majorBidi" w:cstheme="majorBidi"/>
          <w:b/>
          <w:bCs/>
          <w:iCs/>
        </w:rPr>
      </w:pPr>
    </w:p>
    <w:p w:rsidR="00140324" w:rsidRPr="00950C34" w:rsidRDefault="00CE4963" w:rsidP="00F33BC8">
      <w:pPr>
        <w:tabs>
          <w:tab w:val="left" w:pos="1382"/>
          <w:tab w:val="left" w:pos="7857"/>
        </w:tabs>
        <w:spacing w:after="0" w:line="240" w:lineRule="auto"/>
        <w:rPr>
          <w:rFonts w:asciiTheme="majorBidi" w:hAnsiTheme="majorBidi" w:cstheme="majorBidi"/>
          <w:b/>
          <w:bCs/>
          <w:iCs/>
          <w:sz w:val="24"/>
          <w:szCs w:val="24"/>
        </w:rPr>
      </w:pPr>
      <w:r>
        <w:rPr>
          <w:rFonts w:asciiTheme="majorBidi" w:hAnsiTheme="majorBidi" w:cstheme="majorBidi"/>
          <w:b/>
          <w:bCs/>
          <w:iCs/>
          <w:sz w:val="24"/>
          <w:szCs w:val="24"/>
        </w:rPr>
        <w:t xml:space="preserve">(4.1) </w:t>
      </w:r>
      <w:r w:rsidR="00140324" w:rsidRPr="00950C34">
        <w:rPr>
          <w:rFonts w:asciiTheme="majorBidi" w:hAnsiTheme="majorBidi" w:cstheme="majorBidi"/>
          <w:b/>
          <w:bCs/>
          <w:iCs/>
          <w:sz w:val="24"/>
          <w:szCs w:val="24"/>
        </w:rPr>
        <w:t>Data</w:t>
      </w:r>
    </w:p>
    <w:p w:rsidR="00140324" w:rsidRDefault="00FD3FFE" w:rsidP="00F33BC8">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t>To estimate the</w:t>
      </w:r>
      <w:r w:rsidR="00CA4B67" w:rsidRPr="00950C34">
        <w:rPr>
          <w:rFonts w:asciiTheme="majorBidi" w:hAnsiTheme="majorBidi" w:cstheme="majorBidi"/>
        </w:rPr>
        <w:t xml:space="preserve"> causality tests </w:t>
      </w:r>
      <w:r w:rsidR="000D7C38" w:rsidRPr="00950C34">
        <w:rPr>
          <w:rFonts w:asciiTheme="majorBidi" w:hAnsiTheme="majorBidi" w:cstheme="majorBidi"/>
        </w:rPr>
        <w:t>time series d</w:t>
      </w:r>
      <w:r w:rsidR="00CA4B67" w:rsidRPr="00950C34">
        <w:rPr>
          <w:rFonts w:asciiTheme="majorBidi" w:hAnsiTheme="majorBidi" w:cstheme="majorBidi"/>
        </w:rPr>
        <w:t>ata about ICT development and economic growth in Iran</w:t>
      </w:r>
      <w:r w:rsidRPr="00950C34">
        <w:rPr>
          <w:rFonts w:asciiTheme="majorBidi" w:hAnsiTheme="majorBidi" w:cstheme="majorBidi"/>
        </w:rPr>
        <w:t xml:space="preserve"> is needed</w:t>
      </w:r>
      <w:r w:rsidR="005D4539" w:rsidRPr="00950C34">
        <w:rPr>
          <w:rFonts w:asciiTheme="majorBidi" w:hAnsiTheme="majorBidi" w:cstheme="majorBidi"/>
        </w:rPr>
        <w:t xml:space="preserve">. </w:t>
      </w:r>
      <w:r w:rsidRPr="00950C34">
        <w:rPr>
          <w:rFonts w:asciiTheme="majorBidi" w:hAnsiTheme="majorBidi" w:cstheme="majorBidi"/>
        </w:rPr>
        <w:t>But since,</w:t>
      </w:r>
      <w:r w:rsidR="005D4539" w:rsidRPr="00950C34">
        <w:rPr>
          <w:rFonts w:asciiTheme="majorBidi" w:hAnsiTheme="majorBidi" w:cstheme="majorBidi"/>
        </w:rPr>
        <w:t xml:space="preserve"> </w:t>
      </w:r>
      <w:r w:rsidRPr="00950C34">
        <w:rPr>
          <w:rFonts w:asciiTheme="majorBidi" w:hAnsiTheme="majorBidi" w:cstheme="majorBidi"/>
        </w:rPr>
        <w:t xml:space="preserve">the </w:t>
      </w:r>
      <w:r w:rsidR="005D4539" w:rsidRPr="00950C34">
        <w:rPr>
          <w:rFonts w:asciiTheme="majorBidi" w:hAnsiTheme="majorBidi" w:cstheme="majorBidi"/>
        </w:rPr>
        <w:t xml:space="preserve">lack of </w:t>
      </w:r>
      <w:r w:rsidR="000D7C38" w:rsidRPr="00950C34">
        <w:rPr>
          <w:rFonts w:asciiTheme="majorBidi" w:hAnsiTheme="majorBidi" w:cstheme="majorBidi"/>
        </w:rPr>
        <w:t xml:space="preserve">sufficient </w:t>
      </w:r>
      <w:r w:rsidR="005D4539" w:rsidRPr="00950C34">
        <w:rPr>
          <w:rFonts w:asciiTheme="majorBidi" w:hAnsiTheme="majorBidi" w:cstheme="majorBidi"/>
        </w:rPr>
        <w:t>data</w:t>
      </w:r>
      <w:r w:rsidRPr="00950C34">
        <w:rPr>
          <w:rFonts w:asciiTheme="majorBidi" w:hAnsiTheme="majorBidi" w:cstheme="majorBidi"/>
        </w:rPr>
        <w:t xml:space="preserve"> both qualitatively and quantitatively </w:t>
      </w:r>
      <w:r w:rsidR="005D4539" w:rsidRPr="00950C34">
        <w:rPr>
          <w:rFonts w:asciiTheme="majorBidi" w:hAnsiTheme="majorBidi" w:cstheme="majorBidi"/>
        </w:rPr>
        <w:t>is a common problem to most developing countries and Iran too</w:t>
      </w:r>
      <w:r w:rsidRPr="00950C34">
        <w:rPr>
          <w:rFonts w:asciiTheme="majorBidi" w:hAnsiTheme="majorBidi" w:cstheme="majorBidi"/>
        </w:rPr>
        <w:t>,</w:t>
      </w:r>
      <w:r w:rsidR="00140324" w:rsidRPr="00950C34">
        <w:rPr>
          <w:rFonts w:asciiTheme="majorBidi" w:hAnsiTheme="majorBidi" w:cstheme="majorBidi"/>
        </w:rPr>
        <w:t xml:space="preserve"> </w:t>
      </w:r>
      <w:r w:rsidR="00A230B6" w:rsidRPr="00950C34">
        <w:rPr>
          <w:rFonts w:asciiTheme="majorBidi" w:hAnsiTheme="majorBidi" w:cstheme="majorBidi"/>
        </w:rPr>
        <w:t xml:space="preserve">the data of </w:t>
      </w:r>
      <w:r w:rsidR="00DE43AD" w:rsidRPr="00950C34">
        <w:rPr>
          <w:rFonts w:asciiTheme="majorBidi" w:hAnsiTheme="majorBidi" w:cstheme="majorBidi"/>
        </w:rPr>
        <w:t>T</w:t>
      </w:r>
      <w:r w:rsidR="000D7C38" w:rsidRPr="00950C34">
        <w:rPr>
          <w:rFonts w:asciiTheme="majorBidi" w:hAnsiTheme="majorBidi" w:cstheme="majorBidi"/>
        </w:rPr>
        <w:t>eledensity was applied</w:t>
      </w:r>
      <w:r w:rsidR="00140324" w:rsidRPr="00950C34">
        <w:rPr>
          <w:rFonts w:asciiTheme="majorBidi" w:hAnsiTheme="majorBidi" w:cstheme="majorBidi"/>
        </w:rPr>
        <w:t xml:space="preserve"> as a proxy of </w:t>
      </w:r>
      <w:r w:rsidR="00A230B6" w:rsidRPr="00950C34">
        <w:rPr>
          <w:rFonts w:asciiTheme="majorBidi" w:hAnsiTheme="majorBidi" w:cstheme="majorBidi"/>
        </w:rPr>
        <w:t>ICT infrastructure</w:t>
      </w:r>
      <w:r w:rsidR="00140324" w:rsidRPr="00950C34">
        <w:rPr>
          <w:rFonts w:asciiTheme="majorBidi" w:hAnsiTheme="majorBidi" w:cstheme="majorBidi"/>
        </w:rPr>
        <w:t xml:space="preserve">. Teledensity </w:t>
      </w:r>
      <w:r w:rsidR="00125D02" w:rsidRPr="00950C34">
        <w:rPr>
          <w:rFonts w:asciiTheme="majorBidi" w:hAnsiTheme="majorBidi" w:cstheme="majorBidi"/>
        </w:rPr>
        <w:t>refers to total</w:t>
      </w:r>
      <w:r w:rsidR="00140324" w:rsidRPr="00950C34">
        <w:rPr>
          <w:rFonts w:asciiTheme="majorBidi" w:hAnsiTheme="majorBidi" w:cstheme="majorBidi"/>
        </w:rPr>
        <w:t xml:space="preserve"> number of fixed-line and mobile phone subscribers per 100 persons which are </w:t>
      </w:r>
      <w:r w:rsidR="000C0EDD" w:rsidRPr="00950C34">
        <w:rPr>
          <w:rFonts w:asciiTheme="majorBidi" w:hAnsiTheme="majorBidi" w:cstheme="majorBidi"/>
        </w:rPr>
        <w:t>collected</w:t>
      </w:r>
      <w:r w:rsidR="00140324" w:rsidRPr="00950C34">
        <w:rPr>
          <w:rFonts w:asciiTheme="majorBidi" w:hAnsiTheme="majorBidi" w:cstheme="majorBidi"/>
        </w:rPr>
        <w:t xml:space="preserve"> from the databases of the International Telecommunications Union (ITU).</w:t>
      </w:r>
      <w:r w:rsidR="00093CE6" w:rsidRPr="00950C34">
        <w:rPr>
          <w:rFonts w:asciiTheme="majorBidi" w:hAnsiTheme="majorBidi" w:cstheme="majorBidi"/>
        </w:rPr>
        <w:t xml:space="preserve"> </w:t>
      </w:r>
      <w:r w:rsidR="000C0EDD" w:rsidRPr="00950C34">
        <w:rPr>
          <w:rFonts w:asciiTheme="majorBidi" w:hAnsiTheme="majorBidi" w:cstheme="majorBidi"/>
        </w:rPr>
        <w:t>A</w:t>
      </w:r>
      <w:r w:rsidR="00A230B6" w:rsidRPr="00950C34">
        <w:rPr>
          <w:rFonts w:asciiTheme="majorBidi" w:hAnsiTheme="majorBidi" w:cstheme="majorBidi"/>
        </w:rPr>
        <w:t>s a proxy of economic growth t</w:t>
      </w:r>
      <w:r w:rsidR="00075EFE" w:rsidRPr="00950C34">
        <w:rPr>
          <w:rFonts w:asciiTheme="majorBidi" w:hAnsiTheme="majorBidi" w:cstheme="majorBidi"/>
        </w:rPr>
        <w:t>he data of</w:t>
      </w:r>
      <w:r w:rsidR="00140324" w:rsidRPr="00950C34">
        <w:rPr>
          <w:rFonts w:asciiTheme="majorBidi" w:hAnsiTheme="majorBidi" w:cstheme="majorBidi"/>
        </w:rPr>
        <w:t xml:space="preserve"> real GDP (in local currency) is </w:t>
      </w:r>
      <w:r w:rsidR="00A230B6" w:rsidRPr="00950C34">
        <w:rPr>
          <w:rFonts w:asciiTheme="majorBidi" w:hAnsiTheme="majorBidi" w:cstheme="majorBidi"/>
        </w:rPr>
        <w:t>applied</w:t>
      </w:r>
      <w:r w:rsidR="00140324" w:rsidRPr="00950C34">
        <w:rPr>
          <w:rFonts w:asciiTheme="majorBidi" w:hAnsiTheme="majorBidi" w:cstheme="majorBidi"/>
        </w:rPr>
        <w:t xml:space="preserve"> </w:t>
      </w:r>
      <w:r w:rsidR="00A230B6" w:rsidRPr="00950C34">
        <w:rPr>
          <w:rFonts w:asciiTheme="majorBidi" w:hAnsiTheme="majorBidi" w:cstheme="majorBidi"/>
        </w:rPr>
        <w:t>in our estimation</w:t>
      </w:r>
      <w:r w:rsidR="000C0EDD" w:rsidRPr="00950C34">
        <w:rPr>
          <w:rFonts w:asciiTheme="majorBidi" w:hAnsiTheme="majorBidi" w:cstheme="majorBidi"/>
        </w:rPr>
        <w:t xml:space="preserve"> too. </w:t>
      </w:r>
      <w:r w:rsidR="00140324" w:rsidRPr="00950C34">
        <w:rPr>
          <w:rFonts w:asciiTheme="majorBidi" w:hAnsiTheme="majorBidi" w:cstheme="majorBidi"/>
        </w:rPr>
        <w:t xml:space="preserve">This time series is taken from the databases of World Bank (World Development Indicators). </w:t>
      </w:r>
      <w:r w:rsidR="00845F0B" w:rsidRPr="00950C34">
        <w:rPr>
          <w:rFonts w:asciiTheme="majorBidi" w:hAnsiTheme="majorBidi" w:cstheme="majorBidi"/>
        </w:rPr>
        <w:t>Additionally, t</w:t>
      </w:r>
      <w:r w:rsidR="00140324" w:rsidRPr="00950C34">
        <w:rPr>
          <w:rFonts w:asciiTheme="majorBidi" w:hAnsiTheme="majorBidi" w:cstheme="majorBidi"/>
        </w:rPr>
        <w:t xml:space="preserve">he annual data from 1975 to 2009 (35 observations) </w:t>
      </w:r>
      <w:r w:rsidR="00075EFE" w:rsidRPr="00950C34">
        <w:rPr>
          <w:rFonts w:asciiTheme="majorBidi" w:hAnsiTheme="majorBidi" w:cstheme="majorBidi"/>
        </w:rPr>
        <w:t>were applied according to their yearly time-series availability.</w:t>
      </w:r>
    </w:p>
    <w:p w:rsidR="00CE4963" w:rsidRDefault="00CE4963" w:rsidP="00F33BC8">
      <w:pPr>
        <w:tabs>
          <w:tab w:val="left" w:pos="1382"/>
          <w:tab w:val="left" w:pos="7857"/>
        </w:tabs>
        <w:spacing w:after="0" w:line="240" w:lineRule="auto"/>
        <w:rPr>
          <w:rFonts w:asciiTheme="majorBidi" w:hAnsiTheme="majorBidi" w:cstheme="majorBidi"/>
        </w:rPr>
      </w:pPr>
    </w:p>
    <w:p w:rsidR="00CE4963" w:rsidRPr="00950C34" w:rsidRDefault="00CE4963" w:rsidP="00F33BC8">
      <w:pPr>
        <w:tabs>
          <w:tab w:val="left" w:pos="1382"/>
          <w:tab w:val="left" w:pos="7857"/>
        </w:tabs>
        <w:spacing w:after="0" w:line="240" w:lineRule="auto"/>
        <w:rPr>
          <w:rFonts w:asciiTheme="majorBidi" w:hAnsiTheme="majorBidi" w:cstheme="majorBidi"/>
        </w:rPr>
      </w:pPr>
    </w:p>
    <w:p w:rsidR="00140324" w:rsidRPr="00950C34" w:rsidRDefault="00CE4963" w:rsidP="00CE4963">
      <w:pPr>
        <w:tabs>
          <w:tab w:val="left" w:pos="1382"/>
          <w:tab w:val="left" w:pos="7857"/>
        </w:tabs>
        <w:spacing w:after="0" w:line="240" w:lineRule="auto"/>
        <w:rPr>
          <w:rFonts w:asciiTheme="majorBidi" w:hAnsiTheme="majorBidi" w:cstheme="majorBidi"/>
          <w:b/>
          <w:bCs/>
          <w:iCs/>
          <w:sz w:val="24"/>
          <w:szCs w:val="24"/>
        </w:rPr>
      </w:pPr>
      <w:r>
        <w:rPr>
          <w:rFonts w:asciiTheme="majorBidi" w:hAnsiTheme="majorBidi" w:cstheme="majorBidi"/>
          <w:b/>
          <w:bCs/>
          <w:iCs/>
          <w:sz w:val="24"/>
          <w:szCs w:val="24"/>
        </w:rPr>
        <w:t xml:space="preserve">(4.2) </w:t>
      </w:r>
      <w:r w:rsidR="00140324" w:rsidRPr="00950C34">
        <w:rPr>
          <w:rFonts w:asciiTheme="majorBidi" w:hAnsiTheme="majorBidi" w:cstheme="majorBidi"/>
          <w:b/>
          <w:bCs/>
          <w:iCs/>
          <w:sz w:val="24"/>
          <w:szCs w:val="24"/>
        </w:rPr>
        <w:t>Methodology</w:t>
      </w:r>
    </w:p>
    <w:p w:rsidR="00C86073" w:rsidRDefault="0012213B" w:rsidP="00F33BC8">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t xml:space="preserve">To examine </w:t>
      </w:r>
      <w:r w:rsidR="00140324" w:rsidRPr="00950C34">
        <w:rPr>
          <w:rFonts w:asciiTheme="majorBidi" w:hAnsiTheme="majorBidi" w:cstheme="majorBidi"/>
        </w:rPr>
        <w:t>a</w:t>
      </w:r>
      <w:r w:rsidRPr="00950C34">
        <w:rPr>
          <w:rFonts w:asciiTheme="majorBidi" w:hAnsiTheme="majorBidi" w:cstheme="majorBidi"/>
        </w:rPr>
        <w:t>ny</w:t>
      </w:r>
      <w:r w:rsidR="00140324" w:rsidRPr="00950C34">
        <w:rPr>
          <w:rFonts w:asciiTheme="majorBidi" w:hAnsiTheme="majorBidi" w:cstheme="majorBidi"/>
        </w:rPr>
        <w:t xml:space="preserve"> statistical relationship between </w:t>
      </w:r>
      <w:r w:rsidR="00C50CA6" w:rsidRPr="00950C34">
        <w:rPr>
          <w:rFonts w:asciiTheme="majorBidi" w:hAnsiTheme="majorBidi" w:cstheme="majorBidi"/>
        </w:rPr>
        <w:t xml:space="preserve">Teledensity and real GDP in Iran,  causality testing framework </w:t>
      </w:r>
      <w:r w:rsidRPr="00950C34">
        <w:rPr>
          <w:rFonts w:asciiTheme="majorBidi" w:hAnsiTheme="majorBidi" w:cstheme="majorBidi"/>
        </w:rPr>
        <w:t xml:space="preserve">is adopted </w:t>
      </w:r>
      <w:r w:rsidR="006E1DF2" w:rsidRPr="00950C34">
        <w:rPr>
          <w:rFonts w:asciiTheme="majorBidi" w:hAnsiTheme="majorBidi" w:cstheme="majorBidi"/>
        </w:rPr>
        <w:t>which</w:t>
      </w:r>
      <w:r w:rsidR="00140324" w:rsidRPr="00950C34">
        <w:rPr>
          <w:rFonts w:asciiTheme="majorBidi" w:hAnsiTheme="majorBidi" w:cstheme="majorBidi"/>
        </w:rPr>
        <w:t xml:space="preserve"> </w:t>
      </w:r>
      <w:r w:rsidR="00B90D16" w:rsidRPr="00950C34">
        <w:rPr>
          <w:rFonts w:asciiTheme="majorBidi" w:hAnsiTheme="majorBidi" w:cstheme="majorBidi"/>
        </w:rPr>
        <w:t>includes</w:t>
      </w:r>
      <w:r w:rsidR="006E1DF2" w:rsidRPr="00950C34">
        <w:rPr>
          <w:rFonts w:asciiTheme="majorBidi" w:hAnsiTheme="majorBidi" w:cstheme="majorBidi"/>
        </w:rPr>
        <w:t xml:space="preserve"> the cointegration estimation approach. </w:t>
      </w:r>
      <w:r w:rsidR="00B03B21" w:rsidRPr="00950C34">
        <w:rPr>
          <w:rFonts w:asciiTheme="majorBidi" w:hAnsiTheme="majorBidi" w:cstheme="majorBidi"/>
        </w:rPr>
        <w:t>The</w:t>
      </w:r>
      <w:r w:rsidR="00943CA1" w:rsidRPr="00950C34">
        <w:rPr>
          <w:rFonts w:asciiTheme="majorBidi" w:hAnsiTheme="majorBidi" w:cstheme="majorBidi"/>
        </w:rPr>
        <w:t xml:space="preserve"> procedure for estimation </w:t>
      </w:r>
      <w:r w:rsidR="00315EFE" w:rsidRPr="00950C34">
        <w:rPr>
          <w:rFonts w:asciiTheme="majorBidi" w:hAnsiTheme="majorBidi" w:cstheme="majorBidi"/>
        </w:rPr>
        <w:t>begins</w:t>
      </w:r>
      <w:r w:rsidR="00B90D16" w:rsidRPr="00950C34">
        <w:rPr>
          <w:rFonts w:asciiTheme="majorBidi" w:hAnsiTheme="majorBidi" w:cstheme="majorBidi"/>
        </w:rPr>
        <w:t xml:space="preserve"> with a unit root test to </w:t>
      </w:r>
      <w:r w:rsidR="00315EFE" w:rsidRPr="00950C34">
        <w:rPr>
          <w:rFonts w:asciiTheme="majorBidi" w:hAnsiTheme="majorBidi" w:cstheme="majorBidi"/>
        </w:rPr>
        <w:t>investigate</w:t>
      </w:r>
      <w:r w:rsidR="00B90D16" w:rsidRPr="00950C34">
        <w:rPr>
          <w:rFonts w:asciiTheme="majorBidi" w:hAnsiTheme="majorBidi" w:cstheme="majorBidi"/>
        </w:rPr>
        <w:t xml:space="preserve"> </w:t>
      </w:r>
      <w:r w:rsidR="00140324" w:rsidRPr="00950C34">
        <w:rPr>
          <w:rFonts w:asciiTheme="majorBidi" w:hAnsiTheme="majorBidi" w:cstheme="majorBidi"/>
        </w:rPr>
        <w:t>the</w:t>
      </w:r>
      <w:r w:rsidR="002C02B4" w:rsidRPr="00950C34">
        <w:rPr>
          <w:rFonts w:asciiTheme="majorBidi" w:hAnsiTheme="majorBidi" w:cstheme="majorBidi"/>
        </w:rPr>
        <w:t xml:space="preserve"> order of integration of time series.</w:t>
      </w:r>
      <w:r w:rsidR="00140324" w:rsidRPr="00950C34">
        <w:rPr>
          <w:rFonts w:asciiTheme="majorBidi" w:hAnsiTheme="majorBidi" w:cstheme="majorBidi"/>
        </w:rPr>
        <w:t xml:space="preserve"> </w:t>
      </w:r>
      <w:r w:rsidR="00BE2426" w:rsidRPr="00950C34">
        <w:rPr>
          <w:rFonts w:asciiTheme="majorBidi" w:hAnsiTheme="majorBidi" w:cstheme="majorBidi"/>
        </w:rPr>
        <w:t>T</w:t>
      </w:r>
      <w:r w:rsidR="00E9162A" w:rsidRPr="00950C34">
        <w:rPr>
          <w:rFonts w:asciiTheme="majorBidi" w:hAnsiTheme="majorBidi" w:cstheme="majorBidi"/>
        </w:rPr>
        <w:t>wo s</w:t>
      </w:r>
      <w:r w:rsidR="00140324" w:rsidRPr="00950C34">
        <w:rPr>
          <w:rFonts w:asciiTheme="majorBidi" w:hAnsiTheme="majorBidi" w:cstheme="majorBidi"/>
        </w:rPr>
        <w:t xml:space="preserve">tandard tests </w:t>
      </w:r>
      <w:r w:rsidR="00315EFE" w:rsidRPr="00950C34">
        <w:rPr>
          <w:rFonts w:asciiTheme="majorBidi" w:hAnsiTheme="majorBidi" w:cstheme="majorBidi"/>
        </w:rPr>
        <w:t>were</w:t>
      </w:r>
      <w:r w:rsidR="00E9162A" w:rsidRPr="00950C34">
        <w:rPr>
          <w:rFonts w:asciiTheme="majorBidi" w:hAnsiTheme="majorBidi" w:cstheme="majorBidi"/>
        </w:rPr>
        <w:t xml:space="preserve"> </w:t>
      </w:r>
      <w:r w:rsidR="00BE2426" w:rsidRPr="00950C34">
        <w:rPr>
          <w:rFonts w:asciiTheme="majorBidi" w:hAnsiTheme="majorBidi" w:cstheme="majorBidi"/>
        </w:rPr>
        <w:t>performed</w:t>
      </w:r>
      <w:r w:rsidR="00E9162A" w:rsidRPr="00950C34">
        <w:rPr>
          <w:rFonts w:asciiTheme="majorBidi" w:hAnsiTheme="majorBidi" w:cstheme="majorBidi"/>
        </w:rPr>
        <w:t xml:space="preserve"> </w:t>
      </w:r>
      <w:r w:rsidR="00140324" w:rsidRPr="00950C34">
        <w:rPr>
          <w:rFonts w:asciiTheme="majorBidi" w:hAnsiTheme="majorBidi" w:cstheme="majorBidi"/>
        </w:rPr>
        <w:t>based on the w</w:t>
      </w:r>
      <w:r w:rsidR="00C60303" w:rsidRPr="00950C34">
        <w:rPr>
          <w:rFonts w:asciiTheme="majorBidi" w:hAnsiTheme="majorBidi" w:cstheme="majorBidi"/>
        </w:rPr>
        <w:t>ork of Dickey and Fuller (1979)</w:t>
      </w:r>
      <w:r w:rsidR="00140324" w:rsidRPr="00950C34">
        <w:rPr>
          <w:rFonts w:asciiTheme="majorBidi" w:hAnsiTheme="majorBidi" w:cstheme="majorBidi"/>
        </w:rPr>
        <w:t xml:space="preserve"> and Phillips and Perron (1988). </w:t>
      </w:r>
      <w:r w:rsidR="00315EFE" w:rsidRPr="00950C34">
        <w:rPr>
          <w:rFonts w:asciiTheme="majorBidi" w:hAnsiTheme="majorBidi" w:cstheme="majorBidi"/>
        </w:rPr>
        <w:t>Moreover,</w:t>
      </w:r>
      <w:r w:rsidR="0082280F" w:rsidRPr="00950C34">
        <w:rPr>
          <w:rFonts w:asciiTheme="majorBidi" w:hAnsiTheme="majorBidi" w:cstheme="majorBidi"/>
        </w:rPr>
        <w:t xml:space="preserve"> </w:t>
      </w:r>
      <w:r w:rsidR="00315EFE" w:rsidRPr="00950C34">
        <w:rPr>
          <w:rFonts w:asciiTheme="majorBidi" w:hAnsiTheme="majorBidi" w:cstheme="majorBidi"/>
        </w:rPr>
        <w:t>cointegration analysis was considered to examine any existing long-run relationship between the variables in the case that the time series show integration of the same order (more than zero).</w:t>
      </w:r>
      <w:r w:rsidR="00C10344" w:rsidRPr="00950C34">
        <w:rPr>
          <w:rFonts w:asciiTheme="majorBidi" w:hAnsiTheme="majorBidi" w:cstheme="majorBidi"/>
        </w:rPr>
        <w:t xml:space="preserve"> </w:t>
      </w:r>
      <w:r w:rsidR="002A6B5B" w:rsidRPr="00950C34">
        <w:rPr>
          <w:rFonts w:asciiTheme="majorBidi" w:hAnsiTheme="majorBidi" w:cstheme="majorBidi"/>
        </w:rPr>
        <w:t>C</w:t>
      </w:r>
      <w:r w:rsidR="000764FB" w:rsidRPr="00950C34">
        <w:rPr>
          <w:rFonts w:asciiTheme="majorBidi" w:hAnsiTheme="majorBidi" w:cstheme="majorBidi"/>
        </w:rPr>
        <w:t>o</w:t>
      </w:r>
      <w:r w:rsidR="00140324" w:rsidRPr="00950C34">
        <w:rPr>
          <w:rFonts w:asciiTheme="majorBidi" w:hAnsiTheme="majorBidi" w:cstheme="majorBidi"/>
        </w:rPr>
        <w:t xml:space="preserve">integration analysis </w:t>
      </w:r>
      <w:r w:rsidR="00C619CC" w:rsidRPr="00950C34">
        <w:rPr>
          <w:rFonts w:asciiTheme="majorBidi" w:hAnsiTheme="majorBidi" w:cstheme="majorBidi"/>
        </w:rPr>
        <w:t xml:space="preserve">is </w:t>
      </w:r>
      <w:r w:rsidR="00082336" w:rsidRPr="00950C34">
        <w:rPr>
          <w:rFonts w:asciiTheme="majorBidi" w:hAnsiTheme="majorBidi" w:cstheme="majorBidi"/>
        </w:rPr>
        <w:t>investigated</w:t>
      </w:r>
      <w:r w:rsidR="00C619CC" w:rsidRPr="00950C34">
        <w:rPr>
          <w:rFonts w:asciiTheme="majorBidi" w:hAnsiTheme="majorBidi" w:cstheme="majorBidi"/>
        </w:rPr>
        <w:t xml:space="preserve"> by</w:t>
      </w:r>
      <w:r w:rsidR="00082336" w:rsidRPr="00950C34">
        <w:rPr>
          <w:rFonts w:asciiTheme="majorBidi" w:hAnsiTheme="majorBidi" w:cstheme="majorBidi"/>
        </w:rPr>
        <w:t xml:space="preserve"> using</w:t>
      </w:r>
      <w:r w:rsidR="00140324" w:rsidRPr="00950C34">
        <w:rPr>
          <w:rFonts w:asciiTheme="majorBidi" w:hAnsiTheme="majorBidi" w:cstheme="majorBidi"/>
        </w:rPr>
        <w:t xml:space="preserve"> the Juselius-Johansen approach (Johansen, 1988; Johansen and Juselius, 1990). </w:t>
      </w:r>
      <w:r w:rsidR="00B03B21" w:rsidRPr="00950C34">
        <w:rPr>
          <w:rFonts w:asciiTheme="majorBidi" w:hAnsiTheme="majorBidi" w:cstheme="majorBidi"/>
        </w:rPr>
        <w:t>The</w:t>
      </w:r>
      <w:r w:rsidR="0059697A" w:rsidRPr="00950C34">
        <w:rPr>
          <w:rFonts w:asciiTheme="majorBidi" w:hAnsiTheme="majorBidi" w:cstheme="majorBidi"/>
        </w:rPr>
        <w:t xml:space="preserve"> results of the co</w:t>
      </w:r>
      <w:r w:rsidR="00140324" w:rsidRPr="00950C34">
        <w:rPr>
          <w:rFonts w:asciiTheme="majorBidi" w:hAnsiTheme="majorBidi" w:cstheme="majorBidi"/>
        </w:rPr>
        <w:t>integration analysis will define the methodology</w:t>
      </w:r>
      <w:r w:rsidR="0059697A" w:rsidRPr="00950C34">
        <w:rPr>
          <w:rFonts w:asciiTheme="majorBidi" w:hAnsiTheme="majorBidi" w:cstheme="majorBidi"/>
        </w:rPr>
        <w:t xml:space="preserve"> to follow in the data analysis.</w:t>
      </w:r>
      <w:r w:rsidR="00140324" w:rsidRPr="00950C34">
        <w:rPr>
          <w:rFonts w:asciiTheme="majorBidi" w:hAnsiTheme="majorBidi" w:cstheme="majorBidi"/>
        </w:rPr>
        <w:t xml:space="preserve"> In</w:t>
      </w:r>
      <w:r w:rsidR="000764FB" w:rsidRPr="00950C34">
        <w:rPr>
          <w:rFonts w:asciiTheme="majorBidi" w:hAnsiTheme="majorBidi" w:cstheme="majorBidi"/>
        </w:rPr>
        <w:t xml:space="preserve"> general, </w:t>
      </w:r>
      <w:r w:rsidR="00C2784B" w:rsidRPr="00950C34">
        <w:rPr>
          <w:rFonts w:asciiTheme="majorBidi" w:hAnsiTheme="majorBidi" w:cstheme="majorBidi"/>
        </w:rPr>
        <w:t>in the absence of</w:t>
      </w:r>
      <w:r w:rsidR="000764FB" w:rsidRPr="00950C34">
        <w:rPr>
          <w:rFonts w:asciiTheme="majorBidi" w:hAnsiTheme="majorBidi" w:cstheme="majorBidi"/>
        </w:rPr>
        <w:t xml:space="preserve"> co</w:t>
      </w:r>
      <w:r w:rsidR="00197878" w:rsidRPr="00950C34">
        <w:rPr>
          <w:rFonts w:asciiTheme="majorBidi" w:hAnsiTheme="majorBidi" w:cstheme="majorBidi"/>
        </w:rPr>
        <w:t>integration</w:t>
      </w:r>
      <w:r w:rsidR="00C21716" w:rsidRPr="00950C34">
        <w:rPr>
          <w:rFonts w:asciiTheme="majorBidi" w:hAnsiTheme="majorBidi" w:cstheme="majorBidi"/>
        </w:rPr>
        <w:t>,</w:t>
      </w:r>
      <w:r w:rsidR="00197878" w:rsidRPr="00950C34">
        <w:rPr>
          <w:rFonts w:asciiTheme="majorBidi" w:hAnsiTheme="majorBidi" w:cstheme="majorBidi"/>
        </w:rPr>
        <w:t xml:space="preserve"> </w:t>
      </w:r>
      <w:r w:rsidR="00564C6A" w:rsidRPr="00950C34">
        <w:rPr>
          <w:rFonts w:asciiTheme="majorBidi" w:hAnsiTheme="majorBidi" w:cstheme="majorBidi"/>
        </w:rPr>
        <w:t xml:space="preserve">the </w:t>
      </w:r>
      <w:r w:rsidR="00197878" w:rsidRPr="00950C34">
        <w:rPr>
          <w:rFonts w:asciiTheme="majorBidi" w:hAnsiTheme="majorBidi" w:cstheme="majorBidi"/>
        </w:rPr>
        <w:t>Granger (1969</w:t>
      </w:r>
      <w:r w:rsidR="00C60303" w:rsidRPr="00950C34">
        <w:rPr>
          <w:rFonts w:asciiTheme="majorBidi" w:hAnsiTheme="majorBidi" w:cstheme="majorBidi"/>
        </w:rPr>
        <w:t>, 1986, 1988</w:t>
      </w:r>
      <w:r w:rsidR="00197878" w:rsidRPr="00950C34">
        <w:rPr>
          <w:rFonts w:asciiTheme="majorBidi" w:hAnsiTheme="majorBidi" w:cstheme="majorBidi"/>
        </w:rPr>
        <w:t xml:space="preserve">) </w:t>
      </w:r>
      <w:r w:rsidR="00564C6A" w:rsidRPr="00950C34">
        <w:rPr>
          <w:rFonts w:asciiTheme="majorBidi" w:hAnsiTheme="majorBidi" w:cstheme="majorBidi"/>
        </w:rPr>
        <w:t>causality test</w:t>
      </w:r>
      <w:r w:rsidR="002948A0" w:rsidRPr="00950C34">
        <w:rPr>
          <w:rFonts w:asciiTheme="majorBidi" w:hAnsiTheme="majorBidi" w:cstheme="majorBidi"/>
        </w:rPr>
        <w:t xml:space="preserve"> involves</w:t>
      </w:r>
      <w:r w:rsidR="00564C6A" w:rsidRPr="00950C34">
        <w:rPr>
          <w:rFonts w:asciiTheme="majorBidi" w:hAnsiTheme="majorBidi" w:cstheme="majorBidi"/>
        </w:rPr>
        <w:t xml:space="preserve"> </w:t>
      </w:r>
      <w:r w:rsidR="00C21716" w:rsidRPr="00950C34">
        <w:rPr>
          <w:rFonts w:asciiTheme="majorBidi" w:hAnsiTheme="majorBidi" w:cstheme="majorBidi"/>
        </w:rPr>
        <w:t>V</w:t>
      </w:r>
      <w:r w:rsidR="00564C6A" w:rsidRPr="00950C34">
        <w:rPr>
          <w:rFonts w:asciiTheme="majorBidi" w:hAnsiTheme="majorBidi" w:cstheme="majorBidi"/>
        </w:rPr>
        <w:t xml:space="preserve">ector </w:t>
      </w:r>
      <w:r w:rsidR="00C21716" w:rsidRPr="00950C34">
        <w:rPr>
          <w:rFonts w:asciiTheme="majorBidi" w:hAnsiTheme="majorBidi" w:cstheme="majorBidi"/>
        </w:rPr>
        <w:t>A</w:t>
      </w:r>
      <w:r w:rsidR="00564C6A" w:rsidRPr="00950C34">
        <w:rPr>
          <w:rFonts w:asciiTheme="majorBidi" w:hAnsiTheme="majorBidi" w:cstheme="majorBidi"/>
        </w:rPr>
        <w:t>utoregression (VAR) models</w:t>
      </w:r>
      <w:r w:rsidR="00140324" w:rsidRPr="00950C34">
        <w:rPr>
          <w:rFonts w:asciiTheme="majorBidi" w:hAnsiTheme="majorBidi" w:cstheme="majorBidi"/>
        </w:rPr>
        <w:t>, while</w:t>
      </w:r>
      <w:r w:rsidR="00C21716" w:rsidRPr="00950C34">
        <w:rPr>
          <w:rFonts w:asciiTheme="majorBidi" w:hAnsiTheme="majorBidi" w:cstheme="majorBidi"/>
        </w:rPr>
        <w:t xml:space="preserve"> at</w:t>
      </w:r>
      <w:r w:rsidR="00140324" w:rsidRPr="00950C34">
        <w:rPr>
          <w:rFonts w:asciiTheme="majorBidi" w:hAnsiTheme="majorBidi" w:cstheme="majorBidi"/>
        </w:rPr>
        <w:t xml:space="preserve"> the presence o</w:t>
      </w:r>
      <w:r w:rsidR="000764FB" w:rsidRPr="00950C34">
        <w:rPr>
          <w:rFonts w:asciiTheme="majorBidi" w:hAnsiTheme="majorBidi" w:cstheme="majorBidi"/>
        </w:rPr>
        <w:t>f co</w:t>
      </w:r>
      <w:r w:rsidR="00140324" w:rsidRPr="00950C34">
        <w:rPr>
          <w:rFonts w:asciiTheme="majorBidi" w:hAnsiTheme="majorBidi" w:cstheme="majorBidi"/>
        </w:rPr>
        <w:t xml:space="preserve">integration the </w:t>
      </w:r>
      <w:r w:rsidR="00197878" w:rsidRPr="00950C34">
        <w:rPr>
          <w:rFonts w:asciiTheme="majorBidi" w:hAnsiTheme="majorBidi" w:cstheme="majorBidi"/>
        </w:rPr>
        <w:t xml:space="preserve">Vector </w:t>
      </w:r>
      <w:r w:rsidR="00C21716" w:rsidRPr="00950C34">
        <w:rPr>
          <w:rFonts w:asciiTheme="majorBidi" w:hAnsiTheme="majorBidi" w:cstheme="majorBidi"/>
        </w:rPr>
        <w:t>E</w:t>
      </w:r>
      <w:r w:rsidR="00140324" w:rsidRPr="00950C34">
        <w:rPr>
          <w:rFonts w:asciiTheme="majorBidi" w:hAnsiTheme="majorBidi" w:cstheme="majorBidi"/>
        </w:rPr>
        <w:t xml:space="preserve">rror </w:t>
      </w:r>
      <w:r w:rsidR="00C21716" w:rsidRPr="00950C34">
        <w:rPr>
          <w:rFonts w:asciiTheme="majorBidi" w:hAnsiTheme="majorBidi" w:cstheme="majorBidi"/>
        </w:rPr>
        <w:t>C</w:t>
      </w:r>
      <w:r w:rsidR="00140324" w:rsidRPr="00950C34">
        <w:rPr>
          <w:rFonts w:asciiTheme="majorBidi" w:hAnsiTheme="majorBidi" w:cstheme="majorBidi"/>
        </w:rPr>
        <w:t xml:space="preserve">orrection </w:t>
      </w:r>
      <w:r w:rsidR="00C21716" w:rsidRPr="00950C34">
        <w:rPr>
          <w:rFonts w:asciiTheme="majorBidi" w:hAnsiTheme="majorBidi" w:cstheme="majorBidi"/>
        </w:rPr>
        <w:t>M</w:t>
      </w:r>
      <w:r w:rsidR="00140324" w:rsidRPr="00950C34">
        <w:rPr>
          <w:rFonts w:asciiTheme="majorBidi" w:hAnsiTheme="majorBidi" w:cstheme="majorBidi"/>
        </w:rPr>
        <w:t xml:space="preserve">odel </w:t>
      </w:r>
      <w:r w:rsidR="00140324" w:rsidRPr="00950C34">
        <w:rPr>
          <w:rFonts w:asciiTheme="majorBidi" w:hAnsiTheme="majorBidi" w:cstheme="majorBidi"/>
        </w:rPr>
        <w:lastRenderedPageBreak/>
        <w:t>(</w:t>
      </w:r>
      <w:r w:rsidR="002948A0" w:rsidRPr="00950C34">
        <w:rPr>
          <w:rFonts w:asciiTheme="majorBidi" w:hAnsiTheme="majorBidi" w:cstheme="majorBidi"/>
        </w:rPr>
        <w:t>V</w:t>
      </w:r>
      <w:r w:rsidR="00505FC1" w:rsidRPr="00950C34">
        <w:rPr>
          <w:rFonts w:asciiTheme="majorBidi" w:hAnsiTheme="majorBidi" w:cstheme="majorBidi"/>
        </w:rPr>
        <w:t>ECM)</w:t>
      </w:r>
      <w:r w:rsidR="00C21716" w:rsidRPr="00950C34">
        <w:rPr>
          <w:rFonts w:asciiTheme="majorBidi" w:hAnsiTheme="majorBidi" w:cstheme="majorBidi"/>
        </w:rPr>
        <w:t xml:space="preserve"> is applicable to</w:t>
      </w:r>
      <w:r w:rsidR="00505FC1" w:rsidRPr="00950C34">
        <w:rPr>
          <w:rFonts w:asciiTheme="majorBidi" w:hAnsiTheme="majorBidi" w:cstheme="majorBidi"/>
        </w:rPr>
        <w:t xml:space="preserve"> estimation. In addition,</w:t>
      </w:r>
      <w:r w:rsidR="00140324" w:rsidRPr="00950C34">
        <w:rPr>
          <w:rFonts w:asciiTheme="majorBidi" w:hAnsiTheme="majorBidi" w:cstheme="majorBidi"/>
        </w:rPr>
        <w:t xml:space="preserve"> the</w:t>
      </w:r>
      <w:r w:rsidR="00C61327" w:rsidRPr="00950C34">
        <w:rPr>
          <w:rFonts w:asciiTheme="majorBidi" w:hAnsiTheme="majorBidi" w:cstheme="majorBidi"/>
        </w:rPr>
        <w:t xml:space="preserve"> </w:t>
      </w:r>
      <w:r w:rsidR="00140324" w:rsidRPr="00950C34">
        <w:rPr>
          <w:rFonts w:asciiTheme="majorBidi" w:hAnsiTheme="majorBidi" w:cstheme="majorBidi"/>
        </w:rPr>
        <w:t xml:space="preserve">VECM approach </w:t>
      </w:r>
      <w:r w:rsidR="00943CA1" w:rsidRPr="00950C34">
        <w:rPr>
          <w:rFonts w:asciiTheme="majorBidi" w:hAnsiTheme="majorBidi" w:cstheme="majorBidi"/>
        </w:rPr>
        <w:t>allows</w:t>
      </w:r>
      <w:r w:rsidR="00505FC1" w:rsidRPr="00950C34">
        <w:rPr>
          <w:rFonts w:asciiTheme="majorBidi" w:hAnsiTheme="majorBidi" w:cstheme="majorBidi"/>
        </w:rPr>
        <w:t xml:space="preserve"> us to </w:t>
      </w:r>
      <w:r w:rsidR="009C40E3" w:rsidRPr="00950C34">
        <w:rPr>
          <w:rFonts w:asciiTheme="majorBidi" w:hAnsiTheme="majorBidi" w:cstheme="majorBidi"/>
        </w:rPr>
        <w:t>determine</w:t>
      </w:r>
      <w:r w:rsidR="00505FC1" w:rsidRPr="00950C34">
        <w:rPr>
          <w:rFonts w:asciiTheme="majorBidi" w:hAnsiTheme="majorBidi" w:cstheme="majorBidi"/>
        </w:rPr>
        <w:t xml:space="preserve"> the </w:t>
      </w:r>
      <w:r w:rsidR="008B1525" w:rsidRPr="00950C34">
        <w:rPr>
          <w:rFonts w:asciiTheme="majorBidi" w:hAnsiTheme="majorBidi" w:cstheme="majorBidi"/>
        </w:rPr>
        <w:t xml:space="preserve">direction of causality among variables in </w:t>
      </w:r>
      <w:r w:rsidR="009C40E3" w:rsidRPr="00950C34">
        <w:rPr>
          <w:rFonts w:asciiTheme="majorBidi" w:hAnsiTheme="majorBidi" w:cstheme="majorBidi"/>
        </w:rPr>
        <w:t xml:space="preserve">both </w:t>
      </w:r>
      <w:r w:rsidR="00505FC1" w:rsidRPr="00950C34">
        <w:rPr>
          <w:rFonts w:asciiTheme="majorBidi" w:hAnsiTheme="majorBidi" w:cstheme="majorBidi"/>
        </w:rPr>
        <w:t>short</w:t>
      </w:r>
      <w:r w:rsidR="009C40E3" w:rsidRPr="00950C34">
        <w:rPr>
          <w:rFonts w:asciiTheme="majorBidi" w:hAnsiTheme="majorBidi" w:cstheme="majorBidi"/>
        </w:rPr>
        <w:t xml:space="preserve"> and long </w:t>
      </w:r>
      <w:r w:rsidR="00505FC1" w:rsidRPr="00950C34">
        <w:rPr>
          <w:rFonts w:asciiTheme="majorBidi" w:hAnsiTheme="majorBidi" w:cstheme="majorBidi"/>
        </w:rPr>
        <w:t>run</w:t>
      </w:r>
      <w:r w:rsidR="009C40E3" w:rsidRPr="00950C34">
        <w:rPr>
          <w:rFonts w:asciiTheme="majorBidi" w:hAnsiTheme="majorBidi" w:cstheme="majorBidi"/>
        </w:rPr>
        <w:t>.</w:t>
      </w:r>
      <w:r w:rsidR="000D5AF2" w:rsidRPr="00950C34">
        <w:rPr>
          <w:rFonts w:asciiTheme="majorBidi" w:hAnsiTheme="majorBidi" w:cstheme="majorBidi"/>
        </w:rPr>
        <w:t xml:space="preserve"> </w:t>
      </w:r>
      <w:r w:rsidR="00C86073" w:rsidRPr="00950C34">
        <w:rPr>
          <w:rFonts w:asciiTheme="majorBidi" w:hAnsiTheme="majorBidi" w:cstheme="majorBidi"/>
        </w:rPr>
        <w:t xml:space="preserve">Furthermore, </w:t>
      </w:r>
      <w:r w:rsidR="00140324" w:rsidRPr="00950C34">
        <w:rPr>
          <w:rFonts w:asciiTheme="majorBidi" w:hAnsiTheme="majorBidi" w:cstheme="majorBidi"/>
        </w:rPr>
        <w:t>Variance Decompositions (VDCs) and</w:t>
      </w:r>
      <w:r w:rsidR="00A85ED0" w:rsidRPr="00950C34">
        <w:rPr>
          <w:rFonts w:asciiTheme="majorBidi" w:hAnsiTheme="majorBidi" w:cstheme="majorBidi"/>
        </w:rPr>
        <w:t xml:space="preserve"> Impulse Response Functions (IRFs) </w:t>
      </w:r>
      <w:r w:rsidR="00871AC6" w:rsidRPr="00950C34">
        <w:rPr>
          <w:rFonts w:asciiTheme="majorBidi" w:hAnsiTheme="majorBidi" w:cstheme="majorBidi"/>
        </w:rPr>
        <w:t xml:space="preserve">analysis </w:t>
      </w:r>
      <w:r w:rsidR="00C86073" w:rsidRPr="00950C34">
        <w:rPr>
          <w:rFonts w:asciiTheme="majorBidi" w:hAnsiTheme="majorBidi" w:cstheme="majorBidi"/>
        </w:rPr>
        <w:t>were applied</w:t>
      </w:r>
      <w:r w:rsidR="00140324" w:rsidRPr="00950C34">
        <w:rPr>
          <w:rFonts w:asciiTheme="majorBidi" w:hAnsiTheme="majorBidi" w:cstheme="majorBidi"/>
        </w:rPr>
        <w:t xml:space="preserve"> </w:t>
      </w:r>
      <w:r w:rsidR="00C86073" w:rsidRPr="00950C34">
        <w:rPr>
          <w:rFonts w:asciiTheme="majorBidi" w:hAnsiTheme="majorBidi" w:cstheme="majorBidi"/>
        </w:rPr>
        <w:t xml:space="preserve">as </w:t>
      </w:r>
      <w:r w:rsidR="00140324" w:rsidRPr="00950C34">
        <w:rPr>
          <w:rFonts w:asciiTheme="majorBidi" w:hAnsiTheme="majorBidi" w:cstheme="majorBidi"/>
        </w:rPr>
        <w:t xml:space="preserve">an indicator of the dynamic properties of the system and </w:t>
      </w:r>
      <w:r w:rsidR="00C86073" w:rsidRPr="00950C34">
        <w:rPr>
          <w:rFonts w:asciiTheme="majorBidi" w:hAnsiTheme="majorBidi" w:cstheme="majorBidi"/>
        </w:rPr>
        <w:t xml:space="preserve">the </w:t>
      </w:r>
      <w:r w:rsidR="00140324" w:rsidRPr="00950C34">
        <w:rPr>
          <w:rFonts w:asciiTheme="majorBidi" w:hAnsiTheme="majorBidi" w:cstheme="majorBidi"/>
        </w:rPr>
        <w:t>degree of exogeneity among the variables beyond the sample period</w:t>
      </w:r>
      <w:r w:rsidR="00C86073" w:rsidRPr="00950C34">
        <w:rPr>
          <w:rFonts w:asciiTheme="majorBidi" w:hAnsiTheme="majorBidi" w:cstheme="majorBidi"/>
        </w:rPr>
        <w:t xml:space="preserve">, </w:t>
      </w:r>
      <w:r w:rsidR="00F1480B" w:rsidRPr="00950C34">
        <w:rPr>
          <w:rFonts w:asciiTheme="majorBidi" w:hAnsiTheme="majorBidi" w:cstheme="majorBidi"/>
        </w:rPr>
        <w:t>while VECM can indicate only the Granger causality within the sample period</w:t>
      </w:r>
      <w:r w:rsidR="00892D87" w:rsidRPr="00950C34">
        <w:rPr>
          <w:rFonts w:asciiTheme="majorBidi" w:hAnsiTheme="majorBidi" w:cstheme="majorBidi"/>
        </w:rPr>
        <w:t xml:space="preserve">. </w:t>
      </w:r>
      <w:r w:rsidR="00417B11" w:rsidRPr="00950C34">
        <w:rPr>
          <w:rFonts w:asciiTheme="majorBidi" w:hAnsiTheme="majorBidi" w:cstheme="majorBidi"/>
        </w:rPr>
        <w:t xml:space="preserve">These tools investigate how a variable respond to unit standard error shock in others variables and determines the proportion of the forecast error variance of a variable due to innovations of others variables at different forecast horizons. </w:t>
      </w:r>
      <w:r w:rsidR="003870A8" w:rsidRPr="00950C34">
        <w:rPr>
          <w:rFonts w:asciiTheme="majorBidi" w:hAnsiTheme="majorBidi" w:cstheme="majorBidi"/>
        </w:rPr>
        <w:t xml:space="preserve">Noted that the </w:t>
      </w:r>
      <w:r w:rsidR="00F1480B" w:rsidRPr="00950C34">
        <w:rPr>
          <w:rFonts w:asciiTheme="majorBidi" w:hAnsiTheme="majorBidi" w:cstheme="majorBidi"/>
        </w:rPr>
        <w:t>result of the both analyses is</w:t>
      </w:r>
      <w:r w:rsidR="003870A8" w:rsidRPr="00950C34">
        <w:rPr>
          <w:rFonts w:asciiTheme="majorBidi" w:hAnsiTheme="majorBidi" w:cstheme="majorBidi"/>
        </w:rPr>
        <w:t xml:space="preserve"> roughly the same.</w:t>
      </w:r>
      <w:r w:rsidR="00C86073" w:rsidRPr="00950C34">
        <w:rPr>
          <w:rFonts w:asciiTheme="majorBidi" w:hAnsiTheme="majorBidi" w:cstheme="majorBidi"/>
        </w:rPr>
        <w:t xml:space="preserve"> </w:t>
      </w:r>
    </w:p>
    <w:p w:rsidR="0068708E" w:rsidRDefault="0068708E" w:rsidP="00F33BC8">
      <w:pPr>
        <w:tabs>
          <w:tab w:val="left" w:pos="1382"/>
          <w:tab w:val="left" w:pos="7857"/>
        </w:tabs>
        <w:spacing w:after="0" w:line="240" w:lineRule="auto"/>
        <w:rPr>
          <w:rFonts w:asciiTheme="majorBidi" w:hAnsiTheme="majorBidi" w:cstheme="majorBidi"/>
        </w:rPr>
      </w:pPr>
    </w:p>
    <w:p w:rsidR="0068708E" w:rsidRPr="00950C34" w:rsidRDefault="0068708E" w:rsidP="00F33BC8">
      <w:pPr>
        <w:tabs>
          <w:tab w:val="left" w:pos="1382"/>
          <w:tab w:val="left" w:pos="7857"/>
        </w:tabs>
        <w:spacing w:after="0" w:line="240" w:lineRule="auto"/>
        <w:rPr>
          <w:rFonts w:asciiTheme="majorBidi" w:hAnsiTheme="majorBidi" w:cstheme="majorBidi"/>
        </w:rPr>
      </w:pPr>
    </w:p>
    <w:p w:rsidR="00140324" w:rsidRPr="00950C34" w:rsidRDefault="009C3748" w:rsidP="00F33BC8">
      <w:pPr>
        <w:pStyle w:val="ListParagraph"/>
        <w:numPr>
          <w:ilvl w:val="0"/>
          <w:numId w:val="1"/>
        </w:numPr>
        <w:spacing w:after="0" w:line="240" w:lineRule="auto"/>
        <w:ind w:left="0" w:firstLine="0"/>
        <w:rPr>
          <w:rFonts w:asciiTheme="majorBidi" w:hAnsiTheme="majorBidi" w:cstheme="majorBidi"/>
          <w:b/>
          <w:bCs/>
          <w:sz w:val="28"/>
          <w:szCs w:val="28"/>
        </w:rPr>
      </w:pPr>
      <w:r w:rsidRPr="00950C34">
        <w:rPr>
          <w:rFonts w:asciiTheme="majorBidi" w:hAnsiTheme="majorBidi" w:cstheme="majorBidi"/>
          <w:b/>
          <w:bCs/>
          <w:sz w:val="28"/>
          <w:szCs w:val="28"/>
        </w:rPr>
        <w:t>EMPRICAL RESULTS</w:t>
      </w:r>
    </w:p>
    <w:p w:rsidR="00140324" w:rsidRPr="00950C34" w:rsidRDefault="00140324" w:rsidP="00F33BC8">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t>As state</w:t>
      </w:r>
      <w:r w:rsidR="00666D07" w:rsidRPr="00950C34">
        <w:rPr>
          <w:rFonts w:asciiTheme="majorBidi" w:hAnsiTheme="majorBidi" w:cstheme="majorBidi"/>
        </w:rPr>
        <w:t>d</w:t>
      </w:r>
      <w:r w:rsidRPr="00950C34">
        <w:rPr>
          <w:rFonts w:asciiTheme="majorBidi" w:hAnsiTheme="majorBidi" w:cstheme="majorBidi"/>
        </w:rPr>
        <w:t xml:space="preserve"> earlier, the presence of non-stationarity can be tested by conducting unit-root tests</w:t>
      </w:r>
      <w:r w:rsidR="0062363E" w:rsidRPr="00950C34">
        <w:rPr>
          <w:rFonts w:asciiTheme="majorBidi" w:hAnsiTheme="majorBidi" w:cstheme="majorBidi"/>
        </w:rPr>
        <w:t>. T</w:t>
      </w:r>
      <w:r w:rsidR="00F01DA4" w:rsidRPr="00950C34">
        <w:rPr>
          <w:rFonts w:asciiTheme="majorBidi" w:hAnsiTheme="majorBidi" w:cstheme="majorBidi"/>
        </w:rPr>
        <w:t>his study applied two standard tests that called</w:t>
      </w:r>
      <w:r w:rsidRPr="00950C34">
        <w:rPr>
          <w:rFonts w:asciiTheme="majorBidi" w:hAnsiTheme="majorBidi" w:cstheme="majorBidi"/>
        </w:rPr>
        <w:t xml:space="preserve"> the Fisher-Augmented Dickey- Fuller (Fisher-ADF) and Fisher- Phillips Perron (Fisher-PP) tests. </w:t>
      </w:r>
    </w:p>
    <w:p w:rsidR="00140324" w:rsidRDefault="00140324" w:rsidP="00F33BC8">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t xml:space="preserve">The results of test statistics in Table 1 </w:t>
      </w:r>
      <w:r w:rsidR="00F01DA4" w:rsidRPr="00950C34">
        <w:rPr>
          <w:rFonts w:asciiTheme="majorBidi" w:hAnsiTheme="majorBidi" w:cstheme="majorBidi"/>
        </w:rPr>
        <w:t xml:space="preserve">show </w:t>
      </w:r>
      <w:r w:rsidRPr="00950C34">
        <w:rPr>
          <w:rFonts w:asciiTheme="majorBidi" w:hAnsiTheme="majorBidi" w:cstheme="majorBidi"/>
        </w:rPr>
        <w:t xml:space="preserve">that the levels of both series, </w:t>
      </w:r>
      <w:r w:rsidR="00E26F75" w:rsidRPr="00950C34">
        <w:rPr>
          <w:rFonts w:asciiTheme="majorBidi" w:hAnsiTheme="majorBidi" w:cstheme="majorBidi"/>
        </w:rPr>
        <w:t>R</w:t>
      </w:r>
      <w:r w:rsidRPr="00950C34">
        <w:rPr>
          <w:rFonts w:asciiTheme="majorBidi" w:hAnsiTheme="majorBidi" w:cstheme="majorBidi"/>
        </w:rPr>
        <w:t xml:space="preserve">eal GDP and </w:t>
      </w:r>
      <w:r w:rsidR="00E26F75" w:rsidRPr="00950C34">
        <w:rPr>
          <w:rFonts w:asciiTheme="majorBidi" w:hAnsiTheme="majorBidi" w:cstheme="majorBidi"/>
        </w:rPr>
        <w:t>T</w:t>
      </w:r>
      <w:r w:rsidRPr="00950C34">
        <w:rPr>
          <w:rFonts w:asciiTheme="majorBidi" w:hAnsiTheme="majorBidi" w:cstheme="majorBidi"/>
        </w:rPr>
        <w:t xml:space="preserve">eledensity, are non-stationary. After first differencing we could not find </w:t>
      </w:r>
      <w:r w:rsidR="00666D07" w:rsidRPr="00950C34">
        <w:rPr>
          <w:rFonts w:asciiTheme="majorBidi" w:hAnsiTheme="majorBidi" w:cstheme="majorBidi"/>
        </w:rPr>
        <w:t xml:space="preserve">any </w:t>
      </w:r>
      <w:r w:rsidRPr="00950C34">
        <w:rPr>
          <w:rFonts w:asciiTheme="majorBidi" w:hAnsiTheme="majorBidi" w:cstheme="majorBidi"/>
        </w:rPr>
        <w:t>evidence that the variables are non-stationary, that is, both series are integrated of order 1, I(1).</w:t>
      </w:r>
    </w:p>
    <w:p w:rsidR="00287FCE" w:rsidRDefault="00287FCE" w:rsidP="00F33BC8">
      <w:pPr>
        <w:tabs>
          <w:tab w:val="left" w:pos="1382"/>
          <w:tab w:val="left" w:pos="7857"/>
        </w:tabs>
        <w:spacing w:after="0" w:line="240" w:lineRule="auto"/>
        <w:rPr>
          <w:rFonts w:asciiTheme="majorBidi" w:hAnsiTheme="majorBidi" w:cstheme="majorBidi"/>
        </w:rPr>
      </w:pPr>
    </w:p>
    <w:tbl>
      <w:tblPr>
        <w:tblStyle w:val="TableGrid"/>
        <w:tblW w:w="0" w:type="auto"/>
        <w:jc w:val="center"/>
        <w:tblBorders>
          <w:left w:val="single" w:sz="4" w:space="0" w:color="auto"/>
        </w:tblBorders>
        <w:tblLook w:val="04A0"/>
      </w:tblPr>
      <w:tblGrid>
        <w:gridCol w:w="1540"/>
        <w:gridCol w:w="1687"/>
        <w:gridCol w:w="1843"/>
        <w:gridCol w:w="567"/>
        <w:gridCol w:w="1701"/>
        <w:gridCol w:w="1904"/>
      </w:tblGrid>
      <w:tr w:rsidR="00140324" w:rsidRPr="00950C34" w:rsidTr="000D7C38">
        <w:trPr>
          <w:jc w:val="center"/>
        </w:trPr>
        <w:tc>
          <w:tcPr>
            <w:tcW w:w="9242" w:type="dxa"/>
            <w:gridSpan w:val="6"/>
            <w:tcBorders>
              <w:top w:val="nil"/>
              <w:left w:val="nil"/>
              <w:bottom w:val="single" w:sz="4" w:space="0" w:color="auto"/>
              <w:right w:val="nil"/>
            </w:tcBorders>
          </w:tcPr>
          <w:p w:rsidR="00140324" w:rsidRPr="00950C34" w:rsidRDefault="00287FCE" w:rsidP="00F33BC8">
            <w:pPr>
              <w:rPr>
                <w:rFonts w:asciiTheme="majorBidi" w:hAnsiTheme="majorBidi" w:cstheme="majorBidi"/>
              </w:rPr>
            </w:pPr>
            <w:r w:rsidRPr="00287FCE">
              <w:rPr>
                <w:rFonts w:asciiTheme="majorBidi" w:hAnsiTheme="majorBidi" w:cstheme="majorBidi"/>
                <w:bCs/>
              </w:rPr>
              <w:t>TABLE</w:t>
            </w:r>
            <w:r w:rsidR="00140324" w:rsidRPr="00287FCE">
              <w:rPr>
                <w:rFonts w:asciiTheme="majorBidi" w:hAnsiTheme="majorBidi" w:cstheme="majorBidi"/>
                <w:bCs/>
              </w:rPr>
              <w:t xml:space="preserve"> 1:</w:t>
            </w:r>
            <w:r w:rsidR="00140324" w:rsidRPr="00950C34">
              <w:rPr>
                <w:rFonts w:asciiTheme="majorBidi" w:hAnsiTheme="majorBidi" w:cstheme="majorBidi"/>
              </w:rPr>
              <w:t xml:space="preserve"> Tests of the Unit Root Hypothesis</w:t>
            </w:r>
          </w:p>
        </w:tc>
      </w:tr>
      <w:tr w:rsidR="00140324" w:rsidRPr="00950C34" w:rsidTr="000D7C38">
        <w:trPr>
          <w:jc w:val="center"/>
        </w:trPr>
        <w:tc>
          <w:tcPr>
            <w:tcW w:w="1540" w:type="dxa"/>
            <w:tcBorders>
              <w:top w:val="single" w:sz="4" w:space="0" w:color="auto"/>
              <w:left w:val="nil"/>
              <w:bottom w:val="nil"/>
              <w:right w:val="nil"/>
            </w:tcBorders>
            <w:vAlign w:val="center"/>
          </w:tcPr>
          <w:p w:rsidR="00140324" w:rsidRPr="00950C34" w:rsidRDefault="00140324" w:rsidP="00F33BC8">
            <w:pPr>
              <w:rPr>
                <w:rFonts w:asciiTheme="majorBidi" w:hAnsiTheme="majorBidi" w:cstheme="majorBidi"/>
              </w:rPr>
            </w:pPr>
          </w:p>
        </w:tc>
        <w:tc>
          <w:tcPr>
            <w:tcW w:w="3530" w:type="dxa"/>
            <w:gridSpan w:val="2"/>
            <w:tcBorders>
              <w:top w:val="single" w:sz="4" w:space="0" w:color="auto"/>
              <w:left w:val="nil"/>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Aug Dickey-Fuller taste</w:t>
            </w:r>
          </w:p>
        </w:tc>
        <w:tc>
          <w:tcPr>
            <w:tcW w:w="567" w:type="dxa"/>
            <w:tcBorders>
              <w:top w:val="nil"/>
              <w:left w:val="nil"/>
              <w:bottom w:val="nil"/>
              <w:right w:val="nil"/>
            </w:tcBorders>
          </w:tcPr>
          <w:p w:rsidR="00140324" w:rsidRPr="00950C34" w:rsidRDefault="00140324" w:rsidP="00F33BC8">
            <w:pPr>
              <w:rPr>
                <w:rFonts w:asciiTheme="majorBidi" w:hAnsiTheme="majorBidi" w:cstheme="majorBidi"/>
              </w:rPr>
            </w:pPr>
          </w:p>
        </w:tc>
        <w:tc>
          <w:tcPr>
            <w:tcW w:w="3605" w:type="dxa"/>
            <w:gridSpan w:val="2"/>
            <w:tcBorders>
              <w:top w:val="single" w:sz="4" w:space="0" w:color="auto"/>
              <w:left w:val="nil"/>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Phillips-Perron test</w:t>
            </w:r>
          </w:p>
        </w:tc>
      </w:tr>
      <w:tr w:rsidR="00140324" w:rsidRPr="00950C34" w:rsidTr="000D7C38">
        <w:trPr>
          <w:jc w:val="center"/>
        </w:trPr>
        <w:tc>
          <w:tcPr>
            <w:tcW w:w="1540" w:type="dxa"/>
            <w:tcBorders>
              <w:top w:val="nil"/>
              <w:left w:val="nil"/>
              <w:bottom w:val="single" w:sz="4" w:space="0" w:color="000000" w:themeColor="text1"/>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variables</w:t>
            </w:r>
          </w:p>
        </w:tc>
        <w:tc>
          <w:tcPr>
            <w:tcW w:w="1687" w:type="dxa"/>
            <w:tcBorders>
              <w:left w:val="nil"/>
              <w:bottom w:val="single" w:sz="4" w:space="0" w:color="000000" w:themeColor="text1"/>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levels</w:t>
            </w:r>
          </w:p>
        </w:tc>
        <w:tc>
          <w:tcPr>
            <w:tcW w:w="1843" w:type="dxa"/>
            <w:tcBorders>
              <w:left w:val="nil"/>
              <w:bottom w:val="single" w:sz="4" w:space="0" w:color="000000" w:themeColor="text1"/>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First differences</w:t>
            </w:r>
          </w:p>
        </w:tc>
        <w:tc>
          <w:tcPr>
            <w:tcW w:w="567" w:type="dxa"/>
            <w:tcBorders>
              <w:top w:val="nil"/>
              <w:left w:val="nil"/>
              <w:bottom w:val="single" w:sz="4" w:space="0" w:color="000000" w:themeColor="text1"/>
              <w:right w:val="nil"/>
            </w:tcBorders>
          </w:tcPr>
          <w:p w:rsidR="00140324" w:rsidRPr="00950C34" w:rsidRDefault="00140324" w:rsidP="00F33BC8">
            <w:pPr>
              <w:rPr>
                <w:rFonts w:asciiTheme="majorBidi" w:hAnsiTheme="majorBidi" w:cstheme="majorBidi"/>
              </w:rPr>
            </w:pPr>
          </w:p>
        </w:tc>
        <w:tc>
          <w:tcPr>
            <w:tcW w:w="1701" w:type="dxa"/>
            <w:tcBorders>
              <w:left w:val="nil"/>
              <w:bottom w:val="single" w:sz="4" w:space="0" w:color="000000" w:themeColor="text1"/>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levels</w:t>
            </w:r>
          </w:p>
        </w:tc>
        <w:tc>
          <w:tcPr>
            <w:tcW w:w="1904" w:type="dxa"/>
            <w:tcBorders>
              <w:left w:val="nil"/>
              <w:bottom w:val="single" w:sz="4" w:space="0" w:color="000000" w:themeColor="text1"/>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First differences</w:t>
            </w:r>
          </w:p>
        </w:tc>
      </w:tr>
      <w:tr w:rsidR="00140324" w:rsidRPr="00950C34" w:rsidTr="000D7C38">
        <w:trPr>
          <w:jc w:val="center"/>
        </w:trPr>
        <w:tc>
          <w:tcPr>
            <w:tcW w:w="1540" w:type="dxa"/>
            <w:tcBorders>
              <w:left w:val="nil"/>
              <w:bottom w:val="nil"/>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Real GDP</w:t>
            </w:r>
          </w:p>
        </w:tc>
        <w:tc>
          <w:tcPr>
            <w:tcW w:w="1687" w:type="dxa"/>
            <w:tcBorders>
              <w:left w:val="nil"/>
              <w:bottom w:val="nil"/>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1.117</w:t>
            </w:r>
          </w:p>
        </w:tc>
        <w:tc>
          <w:tcPr>
            <w:tcW w:w="1843" w:type="dxa"/>
            <w:tcBorders>
              <w:left w:val="nil"/>
              <w:bottom w:val="nil"/>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-5.024*</w:t>
            </w:r>
          </w:p>
        </w:tc>
        <w:tc>
          <w:tcPr>
            <w:tcW w:w="567" w:type="dxa"/>
            <w:tcBorders>
              <w:left w:val="nil"/>
              <w:bottom w:val="nil"/>
              <w:right w:val="nil"/>
            </w:tcBorders>
          </w:tcPr>
          <w:p w:rsidR="00140324" w:rsidRPr="00950C34" w:rsidRDefault="00140324" w:rsidP="00F33BC8">
            <w:pPr>
              <w:rPr>
                <w:rFonts w:asciiTheme="majorBidi" w:hAnsiTheme="majorBidi" w:cstheme="majorBidi"/>
              </w:rPr>
            </w:pPr>
          </w:p>
        </w:tc>
        <w:tc>
          <w:tcPr>
            <w:tcW w:w="1701" w:type="dxa"/>
            <w:tcBorders>
              <w:left w:val="nil"/>
              <w:bottom w:val="nil"/>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1.201</w:t>
            </w:r>
          </w:p>
        </w:tc>
        <w:tc>
          <w:tcPr>
            <w:tcW w:w="1904" w:type="dxa"/>
            <w:tcBorders>
              <w:left w:val="nil"/>
              <w:bottom w:val="nil"/>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-4.649*</w:t>
            </w:r>
          </w:p>
        </w:tc>
      </w:tr>
      <w:tr w:rsidR="00140324" w:rsidRPr="00950C34" w:rsidTr="00CB3BF9">
        <w:trPr>
          <w:jc w:val="center"/>
        </w:trPr>
        <w:tc>
          <w:tcPr>
            <w:tcW w:w="1540" w:type="dxa"/>
            <w:tcBorders>
              <w:top w:val="nil"/>
              <w:left w:val="nil"/>
              <w:bottom w:val="single" w:sz="4" w:space="0" w:color="auto"/>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Teledensity</w:t>
            </w:r>
          </w:p>
        </w:tc>
        <w:tc>
          <w:tcPr>
            <w:tcW w:w="1687" w:type="dxa"/>
            <w:tcBorders>
              <w:top w:val="nil"/>
              <w:left w:val="nil"/>
              <w:bottom w:val="single" w:sz="4" w:space="0" w:color="auto"/>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2.387</w:t>
            </w:r>
          </w:p>
        </w:tc>
        <w:tc>
          <w:tcPr>
            <w:tcW w:w="1843" w:type="dxa"/>
            <w:tcBorders>
              <w:top w:val="nil"/>
              <w:left w:val="nil"/>
              <w:bottom w:val="single" w:sz="4" w:space="0" w:color="auto"/>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-4.680*</w:t>
            </w:r>
          </w:p>
        </w:tc>
        <w:tc>
          <w:tcPr>
            <w:tcW w:w="567" w:type="dxa"/>
            <w:tcBorders>
              <w:top w:val="nil"/>
              <w:left w:val="nil"/>
              <w:bottom w:val="single" w:sz="4" w:space="0" w:color="auto"/>
              <w:right w:val="nil"/>
            </w:tcBorders>
          </w:tcPr>
          <w:p w:rsidR="00140324" w:rsidRPr="00950C34" w:rsidRDefault="00140324" w:rsidP="00F33BC8">
            <w:pPr>
              <w:rPr>
                <w:rFonts w:asciiTheme="majorBidi" w:hAnsiTheme="majorBidi" w:cstheme="majorBidi"/>
              </w:rPr>
            </w:pPr>
          </w:p>
        </w:tc>
        <w:tc>
          <w:tcPr>
            <w:tcW w:w="1701" w:type="dxa"/>
            <w:tcBorders>
              <w:top w:val="nil"/>
              <w:left w:val="nil"/>
              <w:bottom w:val="single" w:sz="4" w:space="0" w:color="auto"/>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6.748</w:t>
            </w:r>
          </w:p>
        </w:tc>
        <w:tc>
          <w:tcPr>
            <w:tcW w:w="1904" w:type="dxa"/>
            <w:tcBorders>
              <w:top w:val="nil"/>
              <w:left w:val="nil"/>
              <w:bottom w:val="single" w:sz="4" w:space="0" w:color="auto"/>
              <w:right w:val="nil"/>
            </w:tcBorders>
            <w:vAlign w:val="center"/>
          </w:tcPr>
          <w:p w:rsidR="00140324" w:rsidRPr="00950C34" w:rsidRDefault="00140324" w:rsidP="00F33BC8">
            <w:pPr>
              <w:rPr>
                <w:rFonts w:asciiTheme="majorBidi" w:hAnsiTheme="majorBidi" w:cstheme="majorBidi"/>
              </w:rPr>
            </w:pPr>
            <w:r w:rsidRPr="00950C34">
              <w:rPr>
                <w:rFonts w:asciiTheme="majorBidi" w:hAnsiTheme="majorBidi" w:cstheme="majorBidi"/>
              </w:rPr>
              <w:t>-7.230*</w:t>
            </w:r>
          </w:p>
        </w:tc>
      </w:tr>
    </w:tbl>
    <w:p w:rsidR="00140324" w:rsidRPr="00287FCE" w:rsidRDefault="00140324" w:rsidP="00F33BC8">
      <w:pPr>
        <w:spacing w:after="0" w:line="240" w:lineRule="auto"/>
        <w:rPr>
          <w:rFonts w:asciiTheme="majorBidi" w:hAnsiTheme="majorBidi" w:cstheme="majorBidi"/>
          <w:sz w:val="20"/>
          <w:szCs w:val="20"/>
        </w:rPr>
      </w:pPr>
      <w:r w:rsidRPr="00287FCE">
        <w:rPr>
          <w:rFonts w:asciiTheme="majorBidi" w:hAnsiTheme="majorBidi" w:cstheme="majorBidi"/>
          <w:sz w:val="20"/>
          <w:szCs w:val="20"/>
        </w:rPr>
        <w:t>Two variables are in natural logarithms. The optimal lag is automatically selected based on the Schwarz Info Criterion (SIC) for Fisher-ADF regressions. For the Fisher-PP tests, estimators based on kernel-based sums of the covariances have been used to correct for autocorrelation. (*) represents the rejection of the null hypothesis of non</w:t>
      </w:r>
      <w:r w:rsidR="00666D07" w:rsidRPr="00287FCE">
        <w:rPr>
          <w:rFonts w:asciiTheme="majorBidi" w:hAnsiTheme="majorBidi" w:cstheme="majorBidi"/>
          <w:sz w:val="20"/>
          <w:szCs w:val="20"/>
        </w:rPr>
        <w:t>-</w:t>
      </w:r>
      <w:r w:rsidRPr="00287FCE">
        <w:rPr>
          <w:rFonts w:asciiTheme="majorBidi" w:hAnsiTheme="majorBidi" w:cstheme="majorBidi"/>
          <w:sz w:val="20"/>
          <w:szCs w:val="20"/>
        </w:rPr>
        <w:t>stationarity at the 1% level of significance. We can generally conclude that the series has integration of order 1.</w:t>
      </w:r>
    </w:p>
    <w:p w:rsidR="00287FCE" w:rsidRPr="00950C34" w:rsidRDefault="00287FCE" w:rsidP="00F33BC8">
      <w:pPr>
        <w:spacing w:after="0" w:line="240" w:lineRule="auto"/>
        <w:rPr>
          <w:rFonts w:asciiTheme="majorBidi" w:hAnsiTheme="majorBidi" w:cstheme="majorBidi"/>
        </w:rPr>
      </w:pPr>
    </w:p>
    <w:p w:rsidR="00404DFF" w:rsidRPr="00950C34" w:rsidRDefault="00140324" w:rsidP="00F33BC8">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t xml:space="preserve">Having confirmed the existence of unit roots for </w:t>
      </w:r>
      <w:r w:rsidR="0062363E" w:rsidRPr="00950C34">
        <w:rPr>
          <w:rFonts w:asciiTheme="majorBidi" w:hAnsiTheme="majorBidi" w:cstheme="majorBidi"/>
        </w:rPr>
        <w:t>Real GDP and Teledensity</w:t>
      </w:r>
      <w:r w:rsidRPr="00950C34">
        <w:rPr>
          <w:rFonts w:asciiTheme="majorBidi" w:hAnsiTheme="majorBidi" w:cstheme="majorBidi"/>
        </w:rPr>
        <w:t xml:space="preserve">, the next step </w:t>
      </w:r>
      <w:r w:rsidR="00666D07" w:rsidRPr="00950C34">
        <w:rPr>
          <w:rFonts w:asciiTheme="majorBidi" w:hAnsiTheme="majorBidi" w:cstheme="majorBidi"/>
        </w:rPr>
        <w:t>checks</w:t>
      </w:r>
      <w:r w:rsidRPr="00950C34">
        <w:rPr>
          <w:rFonts w:asciiTheme="majorBidi" w:hAnsiTheme="majorBidi" w:cstheme="majorBidi"/>
        </w:rPr>
        <w:t xml:space="preserve"> the results of Johansen-Juselius cointegration tests. Johansen method has two separate tests, the </w:t>
      </w:r>
      <w:r w:rsidR="000F0C78" w:rsidRPr="00950C34">
        <w:rPr>
          <w:rFonts w:asciiTheme="majorBidi" w:hAnsiTheme="majorBidi" w:cstheme="majorBidi"/>
        </w:rPr>
        <w:t>“</w:t>
      </w:r>
      <w:r w:rsidRPr="00950C34">
        <w:rPr>
          <w:rFonts w:asciiTheme="majorBidi" w:hAnsiTheme="majorBidi" w:cstheme="majorBidi"/>
        </w:rPr>
        <w:t>trace</w:t>
      </w:r>
      <w:r w:rsidR="000F0C78" w:rsidRPr="00950C34">
        <w:rPr>
          <w:rFonts w:asciiTheme="majorBidi" w:hAnsiTheme="majorBidi" w:cstheme="majorBidi"/>
        </w:rPr>
        <w:t>”</w:t>
      </w:r>
      <w:r w:rsidRPr="00950C34">
        <w:rPr>
          <w:rFonts w:asciiTheme="majorBidi" w:hAnsiTheme="majorBidi" w:cstheme="majorBidi"/>
        </w:rPr>
        <w:t xml:space="preserve"> test and the </w:t>
      </w:r>
      <w:r w:rsidR="000F0C78" w:rsidRPr="00950C34">
        <w:rPr>
          <w:rFonts w:asciiTheme="majorBidi" w:hAnsiTheme="majorBidi" w:cstheme="majorBidi"/>
        </w:rPr>
        <w:t>“</w:t>
      </w:r>
      <w:r w:rsidRPr="00950C34">
        <w:rPr>
          <w:rFonts w:asciiTheme="majorBidi" w:hAnsiTheme="majorBidi" w:cstheme="majorBidi"/>
        </w:rPr>
        <w:t>maximum eigenvalue</w:t>
      </w:r>
      <w:r w:rsidR="000F0C78" w:rsidRPr="00950C34">
        <w:rPr>
          <w:rFonts w:asciiTheme="majorBidi" w:hAnsiTheme="majorBidi" w:cstheme="majorBidi"/>
        </w:rPr>
        <w:t>”</w:t>
      </w:r>
      <w:r w:rsidRPr="00950C34">
        <w:rPr>
          <w:rFonts w:asciiTheme="majorBidi" w:hAnsiTheme="majorBidi" w:cstheme="majorBidi"/>
        </w:rPr>
        <w:t xml:space="preserve"> test</w:t>
      </w:r>
      <w:r w:rsidR="0062363E" w:rsidRPr="00950C34">
        <w:rPr>
          <w:rFonts w:asciiTheme="majorBidi" w:hAnsiTheme="majorBidi" w:cstheme="majorBidi"/>
        </w:rPr>
        <w:t xml:space="preserve"> </w:t>
      </w:r>
      <w:r w:rsidR="00666D07" w:rsidRPr="00950C34">
        <w:rPr>
          <w:rFonts w:asciiTheme="majorBidi" w:hAnsiTheme="majorBidi" w:cstheme="majorBidi"/>
        </w:rPr>
        <w:t>which are</w:t>
      </w:r>
      <w:r w:rsidR="0062363E" w:rsidRPr="00950C34">
        <w:rPr>
          <w:rFonts w:asciiTheme="majorBidi" w:hAnsiTheme="majorBidi" w:cstheme="majorBidi"/>
        </w:rPr>
        <w:t xml:space="preserve"> presented in Table 2</w:t>
      </w:r>
      <w:r w:rsidRPr="00950C34">
        <w:rPr>
          <w:rFonts w:asciiTheme="majorBidi" w:hAnsiTheme="majorBidi" w:cstheme="majorBidi"/>
        </w:rPr>
        <w:t xml:space="preserve">. The </w:t>
      </w:r>
      <w:r w:rsidR="00F01DA4" w:rsidRPr="00950C34">
        <w:rPr>
          <w:rFonts w:asciiTheme="majorBidi" w:hAnsiTheme="majorBidi" w:cstheme="majorBidi"/>
        </w:rPr>
        <w:t>both of</w:t>
      </w:r>
      <w:r w:rsidRPr="00950C34">
        <w:rPr>
          <w:rFonts w:asciiTheme="majorBidi" w:hAnsiTheme="majorBidi" w:cstheme="majorBidi"/>
        </w:rPr>
        <w:t xml:space="preserve"> statistic</w:t>
      </w:r>
      <w:r w:rsidR="00F01DA4" w:rsidRPr="00950C34">
        <w:rPr>
          <w:rFonts w:asciiTheme="majorBidi" w:hAnsiTheme="majorBidi" w:cstheme="majorBidi"/>
        </w:rPr>
        <w:t xml:space="preserve"> values</w:t>
      </w:r>
      <w:r w:rsidRPr="00950C34">
        <w:rPr>
          <w:rFonts w:asciiTheme="majorBidi" w:hAnsiTheme="majorBidi" w:cstheme="majorBidi"/>
        </w:rPr>
        <w:t xml:space="preserve"> are greater than the critical values</w:t>
      </w:r>
      <w:r w:rsidR="00F01DA4" w:rsidRPr="00950C34">
        <w:rPr>
          <w:rFonts w:asciiTheme="majorBidi" w:hAnsiTheme="majorBidi" w:cstheme="majorBidi"/>
        </w:rPr>
        <w:t xml:space="preserve">. So </w:t>
      </w:r>
      <w:r w:rsidRPr="00950C34">
        <w:rPr>
          <w:rFonts w:asciiTheme="majorBidi" w:hAnsiTheme="majorBidi" w:cstheme="majorBidi"/>
        </w:rPr>
        <w:t xml:space="preserve">the null hypothesis of no cointegration can be rejected at the </w:t>
      </w:r>
      <w:r w:rsidR="00F01DA4" w:rsidRPr="00950C34">
        <w:rPr>
          <w:rFonts w:asciiTheme="majorBidi" w:hAnsiTheme="majorBidi" w:cstheme="majorBidi"/>
        </w:rPr>
        <w:t>%1</w:t>
      </w:r>
      <w:r w:rsidRPr="00950C34">
        <w:rPr>
          <w:rFonts w:asciiTheme="majorBidi" w:hAnsiTheme="majorBidi" w:cstheme="majorBidi"/>
        </w:rPr>
        <w:t xml:space="preserve"> level. </w:t>
      </w:r>
      <w:r w:rsidR="007419A7" w:rsidRPr="00950C34">
        <w:rPr>
          <w:rFonts w:asciiTheme="majorBidi" w:hAnsiTheme="majorBidi" w:cstheme="majorBidi"/>
        </w:rPr>
        <w:t xml:space="preserve">This </w:t>
      </w:r>
      <w:r w:rsidRPr="00950C34">
        <w:rPr>
          <w:rFonts w:asciiTheme="majorBidi" w:hAnsiTheme="majorBidi" w:cstheme="majorBidi"/>
        </w:rPr>
        <w:t xml:space="preserve">provides evidence for the existence of one cointegration vector </w:t>
      </w:r>
      <w:r w:rsidR="006A5CE8" w:rsidRPr="00950C34">
        <w:rPr>
          <w:rFonts w:asciiTheme="majorBidi" w:hAnsiTheme="majorBidi" w:cstheme="majorBidi"/>
        </w:rPr>
        <w:t>that imply</w:t>
      </w:r>
      <w:r w:rsidRPr="00950C34">
        <w:rPr>
          <w:rFonts w:asciiTheme="majorBidi" w:hAnsiTheme="majorBidi" w:cstheme="majorBidi"/>
        </w:rPr>
        <w:t xml:space="preserve"> these two variables are bound together by long-run equilibrium relationship. In other words, there is a force of equilibrium that keeps ICT development and economic growth together in the long-run.</w:t>
      </w:r>
      <w:r w:rsidR="00404DFF" w:rsidRPr="00950C34">
        <w:rPr>
          <w:rFonts w:asciiTheme="majorBidi" w:hAnsiTheme="majorBidi" w:cstheme="majorBidi"/>
        </w:rPr>
        <w:t xml:space="preserve"> A</w:t>
      </w:r>
      <w:r w:rsidR="00F7689F" w:rsidRPr="00950C34">
        <w:rPr>
          <w:rFonts w:asciiTheme="majorBidi" w:hAnsiTheme="majorBidi" w:cstheme="majorBidi"/>
        </w:rPr>
        <w:t xml:space="preserve"> significant</w:t>
      </w:r>
      <w:r w:rsidR="00404DFF" w:rsidRPr="00950C34">
        <w:rPr>
          <w:rFonts w:asciiTheme="majorBidi" w:hAnsiTheme="majorBidi" w:cstheme="majorBidi"/>
        </w:rPr>
        <w:t xml:space="preserve"> outcome of this technique is that </w:t>
      </w:r>
      <w:r w:rsidR="00F7689F" w:rsidRPr="00950C34">
        <w:rPr>
          <w:rFonts w:asciiTheme="majorBidi" w:hAnsiTheme="majorBidi" w:cstheme="majorBidi"/>
        </w:rPr>
        <w:t xml:space="preserve">once </w:t>
      </w:r>
      <w:r w:rsidR="00404DFF" w:rsidRPr="00950C34">
        <w:rPr>
          <w:rFonts w:asciiTheme="majorBidi" w:hAnsiTheme="majorBidi" w:cstheme="majorBidi"/>
        </w:rPr>
        <w:t>the variables are cointegrated, t</w:t>
      </w:r>
      <w:r w:rsidR="00E63486" w:rsidRPr="00950C34">
        <w:rPr>
          <w:rFonts w:asciiTheme="majorBidi" w:hAnsiTheme="majorBidi" w:cstheme="majorBidi"/>
        </w:rPr>
        <w:t>he possibility of the spurious</w:t>
      </w:r>
      <w:r w:rsidR="00404DFF" w:rsidRPr="00950C34">
        <w:rPr>
          <w:rFonts w:asciiTheme="majorBidi" w:hAnsiTheme="majorBidi" w:cstheme="majorBidi"/>
        </w:rPr>
        <w:t xml:space="preserve"> estimation is ruled out</w:t>
      </w:r>
      <w:r w:rsidR="00827F45" w:rsidRPr="00950C34">
        <w:rPr>
          <w:rFonts w:asciiTheme="majorBidi" w:hAnsiTheme="majorBidi" w:cstheme="majorBidi"/>
        </w:rPr>
        <w:t xml:space="preserve"> and at least one channel of Granger causality between two variables is active, in the either short or long-run.</w:t>
      </w:r>
    </w:p>
    <w:p w:rsidR="00140324" w:rsidRPr="00950C34" w:rsidRDefault="00140324" w:rsidP="00F33BC8">
      <w:pPr>
        <w:tabs>
          <w:tab w:val="left" w:pos="1382"/>
          <w:tab w:val="left" w:pos="7857"/>
        </w:tabs>
        <w:spacing w:after="0" w:line="240" w:lineRule="auto"/>
        <w:rPr>
          <w:rFonts w:asciiTheme="majorBidi" w:hAnsiTheme="majorBidi" w:cstheme="majorBidi"/>
        </w:rPr>
      </w:pPr>
    </w:p>
    <w:tbl>
      <w:tblPr>
        <w:tblStyle w:val="TableGrid"/>
        <w:tblW w:w="0" w:type="auto"/>
        <w:jc w:val="center"/>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tblPr>
      <w:tblGrid>
        <w:gridCol w:w="719"/>
        <w:gridCol w:w="177"/>
        <w:gridCol w:w="1012"/>
        <w:gridCol w:w="552"/>
        <w:gridCol w:w="2430"/>
        <w:gridCol w:w="720"/>
        <w:gridCol w:w="2576"/>
      </w:tblGrid>
      <w:tr w:rsidR="00140324" w:rsidRPr="00950C34" w:rsidTr="000D7C38">
        <w:trPr>
          <w:jc w:val="center"/>
        </w:trPr>
        <w:tc>
          <w:tcPr>
            <w:tcW w:w="8186" w:type="dxa"/>
            <w:gridSpan w:val="7"/>
            <w:vAlign w:val="center"/>
          </w:tcPr>
          <w:p w:rsidR="00140324" w:rsidRPr="00950C34" w:rsidRDefault="00287FCE" w:rsidP="00F33BC8">
            <w:pPr>
              <w:rPr>
                <w:rFonts w:asciiTheme="majorBidi" w:hAnsiTheme="majorBidi" w:cstheme="majorBidi"/>
              </w:rPr>
            </w:pPr>
            <w:r w:rsidRPr="00287FCE">
              <w:rPr>
                <w:rFonts w:asciiTheme="majorBidi" w:hAnsiTheme="majorBidi" w:cstheme="majorBidi"/>
                <w:bCs/>
              </w:rPr>
              <w:t xml:space="preserve">TABLE </w:t>
            </w:r>
            <w:r w:rsidR="00140324" w:rsidRPr="00287FCE">
              <w:rPr>
                <w:rFonts w:asciiTheme="majorBidi" w:hAnsiTheme="majorBidi" w:cstheme="majorBidi"/>
                <w:bCs/>
              </w:rPr>
              <w:t>2:</w:t>
            </w:r>
            <w:r w:rsidR="00140324" w:rsidRPr="00950C34">
              <w:rPr>
                <w:rFonts w:asciiTheme="majorBidi" w:hAnsiTheme="majorBidi" w:cstheme="majorBidi"/>
              </w:rPr>
              <w:t xml:space="preserve"> Results of the Johansen cointegration test</w:t>
            </w:r>
          </w:p>
        </w:tc>
      </w:tr>
      <w:tr w:rsidR="00140324" w:rsidRPr="00950C34" w:rsidTr="000D7C38">
        <w:trPr>
          <w:jc w:val="center"/>
        </w:trPr>
        <w:tc>
          <w:tcPr>
            <w:tcW w:w="719" w:type="dxa"/>
            <w:tcBorders>
              <w:bottom w:val="single" w:sz="4" w:space="0" w:color="000000" w:themeColor="text1"/>
            </w:tcBorders>
            <w:vAlign w:val="center"/>
          </w:tcPr>
          <w:p w:rsidR="00140324" w:rsidRPr="00950C34" w:rsidRDefault="00140324" w:rsidP="00CE4963">
            <w:pPr>
              <w:jc w:val="center"/>
              <w:rPr>
                <w:rFonts w:asciiTheme="majorBidi" w:hAnsiTheme="majorBidi" w:cstheme="majorBidi"/>
                <w:vertAlign w:val="subscript"/>
              </w:rPr>
            </w:pPr>
            <w:r w:rsidRPr="00950C34">
              <w:rPr>
                <w:rFonts w:asciiTheme="majorBidi" w:hAnsiTheme="majorBidi" w:cstheme="majorBidi"/>
              </w:rPr>
              <w:t>H</w:t>
            </w:r>
            <w:r w:rsidRPr="00950C34">
              <w:rPr>
                <w:rFonts w:asciiTheme="majorBidi" w:hAnsiTheme="majorBidi" w:cstheme="majorBidi"/>
                <w:vertAlign w:val="subscript"/>
              </w:rPr>
              <w:t>0</w:t>
            </w:r>
          </w:p>
        </w:tc>
        <w:tc>
          <w:tcPr>
            <w:tcW w:w="1189" w:type="dxa"/>
            <w:gridSpan w:val="2"/>
            <w:tcBorders>
              <w:bottom w:val="single" w:sz="4" w:space="0" w:color="000000" w:themeColor="text1"/>
            </w:tcBorders>
            <w:vAlign w:val="center"/>
          </w:tcPr>
          <w:p w:rsidR="00140324" w:rsidRPr="00950C34" w:rsidRDefault="00140324" w:rsidP="00CE4963">
            <w:pPr>
              <w:jc w:val="center"/>
              <w:rPr>
                <w:rFonts w:asciiTheme="majorBidi" w:hAnsiTheme="majorBidi" w:cstheme="majorBidi"/>
                <w:vertAlign w:val="subscript"/>
              </w:rPr>
            </w:pPr>
            <w:r w:rsidRPr="00950C34">
              <w:rPr>
                <w:rFonts w:asciiTheme="majorBidi" w:hAnsiTheme="majorBidi" w:cstheme="majorBidi"/>
              </w:rPr>
              <w:t>H</w:t>
            </w:r>
            <w:r w:rsidRPr="00950C34">
              <w:rPr>
                <w:rFonts w:asciiTheme="majorBidi" w:hAnsiTheme="majorBidi" w:cstheme="majorBidi"/>
                <w:vertAlign w:val="subscript"/>
              </w:rPr>
              <w:t>1</w:t>
            </w:r>
          </w:p>
        </w:tc>
        <w:tc>
          <w:tcPr>
            <w:tcW w:w="552" w:type="dxa"/>
            <w:tcBorders>
              <w:bottom w:val="nil"/>
            </w:tcBorders>
            <w:vAlign w:val="center"/>
          </w:tcPr>
          <w:p w:rsidR="00140324" w:rsidRPr="00950C34" w:rsidRDefault="00140324" w:rsidP="00CE4963">
            <w:pPr>
              <w:jc w:val="center"/>
              <w:rPr>
                <w:rFonts w:asciiTheme="majorBidi" w:hAnsiTheme="majorBidi" w:cstheme="majorBidi"/>
              </w:rPr>
            </w:pPr>
          </w:p>
        </w:tc>
        <w:tc>
          <w:tcPr>
            <w:tcW w:w="2430" w:type="dxa"/>
            <w:tcBorders>
              <w:bottom w:val="single" w:sz="4" w:space="0" w:color="000000" w:themeColor="text1"/>
            </w:tcBorders>
            <w:vAlign w:val="center"/>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Trace Statistic</w:t>
            </w:r>
          </w:p>
        </w:tc>
        <w:tc>
          <w:tcPr>
            <w:tcW w:w="720" w:type="dxa"/>
            <w:tcBorders>
              <w:bottom w:val="nil"/>
            </w:tcBorders>
            <w:vAlign w:val="center"/>
          </w:tcPr>
          <w:p w:rsidR="00140324" w:rsidRPr="00950C34" w:rsidRDefault="00140324" w:rsidP="00CE4963">
            <w:pPr>
              <w:jc w:val="center"/>
              <w:rPr>
                <w:rFonts w:asciiTheme="majorBidi" w:hAnsiTheme="majorBidi" w:cstheme="majorBidi"/>
              </w:rPr>
            </w:pPr>
          </w:p>
        </w:tc>
        <w:tc>
          <w:tcPr>
            <w:tcW w:w="2576" w:type="dxa"/>
            <w:tcBorders>
              <w:bottom w:val="single" w:sz="4" w:space="0" w:color="000000" w:themeColor="text1"/>
            </w:tcBorders>
            <w:vAlign w:val="center"/>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Max-Eigenvalue Statistic</w:t>
            </w:r>
          </w:p>
        </w:tc>
      </w:tr>
      <w:tr w:rsidR="00140324" w:rsidRPr="00950C34" w:rsidTr="000D7C38">
        <w:trPr>
          <w:jc w:val="center"/>
        </w:trPr>
        <w:tc>
          <w:tcPr>
            <w:tcW w:w="896" w:type="dxa"/>
            <w:gridSpan w:val="2"/>
            <w:tcBorders>
              <w:top w:val="single" w:sz="4" w:space="0" w:color="000000" w:themeColor="text1"/>
              <w:bottom w:val="nil"/>
            </w:tcBorders>
            <w:vAlign w:val="center"/>
          </w:tcPr>
          <w:p w:rsidR="00140324" w:rsidRPr="00950C34" w:rsidRDefault="00140324" w:rsidP="00F33BC8">
            <w:pPr>
              <w:rPr>
                <w:rFonts w:asciiTheme="majorBidi" w:hAnsiTheme="majorBidi" w:cstheme="majorBidi"/>
              </w:rPr>
            </w:pPr>
            <m:oMathPara>
              <m:oMathParaPr>
                <m:jc m:val="left"/>
              </m:oMathParaPr>
              <m:oMath>
                <m:r>
                  <w:rPr>
                    <w:rFonts w:ascii="Cambria Math" w:hAnsi="Cambria Math" w:cstheme="majorBidi"/>
                  </w:rPr>
                  <m:t>r</m:t>
                </m:r>
                <m:r>
                  <w:rPr>
                    <w:rFonts w:ascii="Cambria Math" w:hAnsiTheme="majorBidi" w:cstheme="majorBidi"/>
                  </w:rPr>
                  <m:t>=0</m:t>
                </m:r>
              </m:oMath>
            </m:oMathPara>
          </w:p>
        </w:tc>
        <w:tc>
          <w:tcPr>
            <w:tcW w:w="1012" w:type="dxa"/>
            <w:tcBorders>
              <w:top w:val="single" w:sz="4" w:space="0" w:color="000000" w:themeColor="text1"/>
              <w:bottom w:val="nil"/>
            </w:tcBorders>
            <w:vAlign w:val="center"/>
          </w:tcPr>
          <w:p w:rsidR="00140324" w:rsidRPr="00950C34" w:rsidRDefault="00140324" w:rsidP="00F33BC8">
            <w:pPr>
              <w:rPr>
                <w:rFonts w:asciiTheme="majorBidi" w:hAnsiTheme="majorBidi" w:cstheme="majorBidi"/>
              </w:rPr>
            </w:pPr>
            <m:oMathPara>
              <m:oMath>
                <m:r>
                  <w:rPr>
                    <w:rFonts w:ascii="Cambria Math" w:hAnsi="Cambria Math" w:cstheme="majorBidi"/>
                  </w:rPr>
                  <m:t>r</m:t>
                </m:r>
                <m:r>
                  <w:rPr>
                    <w:rFonts w:ascii="Cambria Math" w:hAnsiTheme="majorBidi" w:cstheme="majorBidi"/>
                  </w:rPr>
                  <m:t>&gt;0</m:t>
                </m:r>
              </m:oMath>
            </m:oMathPara>
          </w:p>
        </w:tc>
        <w:tc>
          <w:tcPr>
            <w:tcW w:w="552" w:type="dxa"/>
            <w:tcBorders>
              <w:top w:val="nil"/>
              <w:bottom w:val="nil"/>
            </w:tcBorders>
            <w:vAlign w:val="center"/>
          </w:tcPr>
          <w:p w:rsidR="00140324" w:rsidRPr="00950C34" w:rsidRDefault="00140324" w:rsidP="00F33BC8">
            <w:pPr>
              <w:rPr>
                <w:rFonts w:asciiTheme="majorBidi" w:hAnsiTheme="majorBidi" w:cstheme="majorBidi"/>
              </w:rPr>
            </w:pPr>
          </w:p>
        </w:tc>
        <w:tc>
          <w:tcPr>
            <w:tcW w:w="2430" w:type="dxa"/>
            <w:tcBorders>
              <w:top w:val="single" w:sz="4" w:space="0" w:color="000000" w:themeColor="text1"/>
              <w:bottom w:val="nil"/>
            </w:tcBorders>
            <w:vAlign w:val="center"/>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23.387*</w:t>
            </w:r>
          </w:p>
        </w:tc>
        <w:tc>
          <w:tcPr>
            <w:tcW w:w="720" w:type="dxa"/>
            <w:tcBorders>
              <w:top w:val="nil"/>
              <w:bottom w:val="nil"/>
            </w:tcBorders>
            <w:vAlign w:val="center"/>
          </w:tcPr>
          <w:p w:rsidR="00140324" w:rsidRPr="00950C34" w:rsidRDefault="00140324" w:rsidP="00CE4963">
            <w:pPr>
              <w:jc w:val="center"/>
              <w:rPr>
                <w:rFonts w:asciiTheme="majorBidi" w:hAnsiTheme="majorBidi" w:cstheme="majorBidi"/>
              </w:rPr>
            </w:pPr>
          </w:p>
        </w:tc>
        <w:tc>
          <w:tcPr>
            <w:tcW w:w="2576" w:type="dxa"/>
            <w:tcBorders>
              <w:top w:val="single" w:sz="4" w:space="0" w:color="000000" w:themeColor="text1"/>
              <w:bottom w:val="nil"/>
            </w:tcBorders>
            <w:vAlign w:val="center"/>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21.521*</w:t>
            </w:r>
          </w:p>
        </w:tc>
      </w:tr>
      <w:tr w:rsidR="00140324" w:rsidRPr="00950C34" w:rsidTr="000D7C38">
        <w:trPr>
          <w:jc w:val="center"/>
        </w:trPr>
        <w:tc>
          <w:tcPr>
            <w:tcW w:w="896" w:type="dxa"/>
            <w:gridSpan w:val="2"/>
            <w:tcBorders>
              <w:top w:val="nil"/>
            </w:tcBorders>
            <w:vAlign w:val="center"/>
          </w:tcPr>
          <w:p w:rsidR="00140324" w:rsidRPr="00950C34" w:rsidRDefault="00140324" w:rsidP="00F33BC8">
            <w:pPr>
              <w:rPr>
                <w:rFonts w:asciiTheme="majorBidi" w:hAnsiTheme="majorBidi" w:cstheme="majorBidi"/>
              </w:rPr>
            </w:pPr>
            <m:oMathPara>
              <m:oMathParaPr>
                <m:jc m:val="left"/>
              </m:oMathParaPr>
              <m:oMath>
                <m:r>
                  <w:rPr>
                    <w:rFonts w:ascii="Cambria Math" w:hAnsi="Cambria Math" w:cstheme="majorBidi"/>
                  </w:rPr>
                  <m:t>r</m:t>
                </m:r>
                <m:r>
                  <w:rPr>
                    <w:rFonts w:asciiTheme="majorBidi" w:hAnsiTheme="majorBidi" w:cstheme="majorBidi"/>
                  </w:rPr>
                  <m:t>≤</m:t>
                </m:r>
                <m:r>
                  <w:rPr>
                    <w:rFonts w:ascii="Cambria Math" w:hAnsiTheme="majorBidi" w:cstheme="majorBidi"/>
                  </w:rPr>
                  <m:t>1</m:t>
                </m:r>
              </m:oMath>
            </m:oMathPara>
          </w:p>
        </w:tc>
        <w:tc>
          <w:tcPr>
            <w:tcW w:w="1012" w:type="dxa"/>
            <w:tcBorders>
              <w:top w:val="nil"/>
            </w:tcBorders>
            <w:vAlign w:val="center"/>
          </w:tcPr>
          <w:p w:rsidR="00140324" w:rsidRPr="00950C34" w:rsidRDefault="00140324" w:rsidP="00F33BC8">
            <w:pPr>
              <w:rPr>
                <w:rFonts w:asciiTheme="majorBidi" w:hAnsiTheme="majorBidi" w:cstheme="majorBidi"/>
              </w:rPr>
            </w:pPr>
            <m:oMathPara>
              <m:oMath>
                <m:r>
                  <w:rPr>
                    <w:rFonts w:ascii="Cambria Math" w:hAnsi="Cambria Math" w:cstheme="majorBidi"/>
                  </w:rPr>
                  <m:t>r</m:t>
                </m:r>
                <m:r>
                  <w:rPr>
                    <w:rFonts w:ascii="Cambria Math" w:hAnsiTheme="majorBidi" w:cstheme="majorBidi"/>
                  </w:rPr>
                  <m:t>&gt;1</m:t>
                </m:r>
              </m:oMath>
            </m:oMathPara>
          </w:p>
        </w:tc>
        <w:tc>
          <w:tcPr>
            <w:tcW w:w="552" w:type="dxa"/>
            <w:tcBorders>
              <w:top w:val="nil"/>
            </w:tcBorders>
            <w:vAlign w:val="center"/>
          </w:tcPr>
          <w:p w:rsidR="00140324" w:rsidRPr="00950C34" w:rsidRDefault="00140324" w:rsidP="00F33BC8">
            <w:pPr>
              <w:rPr>
                <w:rFonts w:asciiTheme="majorBidi" w:hAnsiTheme="majorBidi" w:cstheme="majorBidi"/>
              </w:rPr>
            </w:pPr>
          </w:p>
        </w:tc>
        <w:tc>
          <w:tcPr>
            <w:tcW w:w="2430" w:type="dxa"/>
            <w:tcBorders>
              <w:top w:val="nil"/>
            </w:tcBorders>
            <w:vAlign w:val="center"/>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1.866</w:t>
            </w:r>
          </w:p>
        </w:tc>
        <w:tc>
          <w:tcPr>
            <w:tcW w:w="720" w:type="dxa"/>
            <w:tcBorders>
              <w:top w:val="nil"/>
            </w:tcBorders>
            <w:vAlign w:val="center"/>
          </w:tcPr>
          <w:p w:rsidR="00140324" w:rsidRPr="00950C34" w:rsidRDefault="00140324" w:rsidP="00CE4963">
            <w:pPr>
              <w:jc w:val="center"/>
              <w:rPr>
                <w:rFonts w:asciiTheme="majorBidi" w:hAnsiTheme="majorBidi" w:cstheme="majorBidi"/>
              </w:rPr>
            </w:pPr>
          </w:p>
        </w:tc>
        <w:tc>
          <w:tcPr>
            <w:tcW w:w="2576" w:type="dxa"/>
            <w:tcBorders>
              <w:top w:val="nil"/>
            </w:tcBorders>
            <w:vAlign w:val="center"/>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1.866</w:t>
            </w:r>
          </w:p>
        </w:tc>
      </w:tr>
    </w:tbl>
    <w:p w:rsidR="00140324" w:rsidRPr="008D78FF" w:rsidRDefault="00E7537C" w:rsidP="00F33BC8">
      <w:pPr>
        <w:pStyle w:val="ListParagraph"/>
        <w:spacing w:after="0" w:line="240" w:lineRule="auto"/>
        <w:ind w:left="0"/>
        <w:rPr>
          <w:rFonts w:asciiTheme="majorBidi" w:hAnsiTheme="majorBidi" w:cstheme="majorBidi"/>
          <w:sz w:val="20"/>
          <w:szCs w:val="20"/>
        </w:rPr>
      </w:pPr>
      <w:r w:rsidRPr="008D78FF">
        <w:rPr>
          <w:rFonts w:asciiTheme="majorBidi" w:hAnsiTheme="majorBidi" w:cstheme="majorBidi"/>
          <w:sz w:val="20"/>
          <w:szCs w:val="20"/>
        </w:rPr>
        <w:t xml:space="preserve">r indicates the number of cointegrating vecter. </w:t>
      </w:r>
      <w:r w:rsidR="00140324" w:rsidRPr="008D78FF">
        <w:rPr>
          <w:rFonts w:asciiTheme="majorBidi" w:hAnsiTheme="majorBidi" w:cstheme="majorBidi"/>
          <w:sz w:val="20"/>
          <w:szCs w:val="20"/>
        </w:rPr>
        <w:t>(*) For the both trace and maximum eigenvalue test statistics, the probability value for rejection of the null hypothesis of no cointegration is employed at the 1% level</w:t>
      </w:r>
      <w:r w:rsidR="00287FCE" w:rsidRPr="008D78FF">
        <w:rPr>
          <w:rFonts w:asciiTheme="majorBidi" w:hAnsiTheme="majorBidi" w:cstheme="majorBidi"/>
          <w:sz w:val="20"/>
          <w:szCs w:val="20"/>
        </w:rPr>
        <w:t>.</w:t>
      </w:r>
    </w:p>
    <w:p w:rsidR="00287FCE" w:rsidRPr="00950C34" w:rsidRDefault="00287FCE" w:rsidP="00F33BC8">
      <w:pPr>
        <w:pStyle w:val="ListParagraph"/>
        <w:spacing w:after="0" w:line="240" w:lineRule="auto"/>
        <w:ind w:left="0"/>
        <w:rPr>
          <w:rFonts w:asciiTheme="majorBidi" w:hAnsiTheme="majorBidi" w:cstheme="majorBidi"/>
        </w:rPr>
      </w:pPr>
    </w:p>
    <w:p w:rsidR="00140324" w:rsidRPr="00950C34" w:rsidRDefault="005C02F8" w:rsidP="00F33BC8">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t>Although,</w:t>
      </w:r>
      <w:r w:rsidR="00A437B3" w:rsidRPr="00950C34">
        <w:rPr>
          <w:rFonts w:asciiTheme="majorBidi" w:hAnsiTheme="majorBidi" w:cstheme="majorBidi"/>
        </w:rPr>
        <w:t xml:space="preserve"> </w:t>
      </w:r>
      <w:r w:rsidRPr="00950C34">
        <w:rPr>
          <w:rFonts w:asciiTheme="majorBidi" w:hAnsiTheme="majorBidi" w:cstheme="majorBidi"/>
        </w:rPr>
        <w:t>the results of cointegration teste imply</w:t>
      </w:r>
      <w:r w:rsidR="00A437B3" w:rsidRPr="00950C34">
        <w:rPr>
          <w:rFonts w:asciiTheme="majorBidi" w:hAnsiTheme="majorBidi" w:cstheme="majorBidi"/>
        </w:rPr>
        <w:t xml:space="preserve"> the presence of causality</w:t>
      </w:r>
      <w:r w:rsidRPr="00950C34">
        <w:rPr>
          <w:rFonts w:asciiTheme="majorBidi" w:hAnsiTheme="majorBidi" w:cstheme="majorBidi"/>
        </w:rPr>
        <w:t xml:space="preserve"> between Real GDP and Teledensity</w:t>
      </w:r>
      <w:r w:rsidR="00A437B3" w:rsidRPr="00950C34">
        <w:rPr>
          <w:rFonts w:asciiTheme="majorBidi" w:hAnsiTheme="majorBidi" w:cstheme="majorBidi"/>
        </w:rPr>
        <w:t xml:space="preserve">, </w:t>
      </w:r>
      <w:r w:rsidR="000C6C6E" w:rsidRPr="00950C34">
        <w:rPr>
          <w:rFonts w:asciiTheme="majorBidi" w:hAnsiTheme="majorBidi" w:cstheme="majorBidi"/>
        </w:rPr>
        <w:t xml:space="preserve">it cannot </w:t>
      </w:r>
      <w:r w:rsidR="00A437B3" w:rsidRPr="00950C34">
        <w:rPr>
          <w:rFonts w:asciiTheme="majorBidi" w:hAnsiTheme="majorBidi" w:cstheme="majorBidi"/>
        </w:rPr>
        <w:t xml:space="preserve">identify </w:t>
      </w:r>
      <w:r w:rsidR="000C6C6E" w:rsidRPr="00950C34">
        <w:rPr>
          <w:rFonts w:asciiTheme="majorBidi" w:hAnsiTheme="majorBidi" w:cstheme="majorBidi"/>
        </w:rPr>
        <w:t>the direction of Granger causality between them.</w:t>
      </w:r>
      <w:r w:rsidR="00D63574" w:rsidRPr="00950C34">
        <w:rPr>
          <w:rFonts w:asciiTheme="majorBidi" w:hAnsiTheme="majorBidi" w:cstheme="majorBidi"/>
        </w:rPr>
        <w:t xml:space="preserve"> </w:t>
      </w:r>
      <w:r w:rsidR="00140324" w:rsidRPr="00950C34">
        <w:rPr>
          <w:rFonts w:asciiTheme="majorBidi" w:hAnsiTheme="majorBidi" w:cstheme="majorBidi"/>
        </w:rPr>
        <w:t xml:space="preserve">As </w:t>
      </w:r>
      <w:r w:rsidR="001810BF" w:rsidRPr="00950C34">
        <w:rPr>
          <w:rFonts w:asciiTheme="majorBidi" w:hAnsiTheme="majorBidi" w:cstheme="majorBidi"/>
        </w:rPr>
        <w:t>mentioned before</w:t>
      </w:r>
      <w:r w:rsidR="00140324" w:rsidRPr="00950C34">
        <w:rPr>
          <w:rFonts w:asciiTheme="majorBidi" w:hAnsiTheme="majorBidi" w:cstheme="majorBidi"/>
        </w:rPr>
        <w:t>, for purposes of causality test</w:t>
      </w:r>
      <w:r w:rsidR="00A64E45" w:rsidRPr="00950C34">
        <w:rPr>
          <w:rFonts w:asciiTheme="majorBidi" w:hAnsiTheme="majorBidi" w:cstheme="majorBidi"/>
        </w:rPr>
        <w:t>s, due to the results of the co</w:t>
      </w:r>
      <w:r w:rsidR="00140324" w:rsidRPr="00950C34">
        <w:rPr>
          <w:rFonts w:asciiTheme="majorBidi" w:hAnsiTheme="majorBidi" w:cstheme="majorBidi"/>
        </w:rPr>
        <w:t>integration analysis in this case,</w:t>
      </w:r>
      <w:r w:rsidR="00741DD8" w:rsidRPr="00950C34">
        <w:rPr>
          <w:rFonts w:asciiTheme="majorBidi" w:hAnsiTheme="majorBidi" w:cstheme="majorBidi"/>
        </w:rPr>
        <w:t xml:space="preserve"> the Granger causality can be captured </w:t>
      </w:r>
      <w:r w:rsidR="00140324" w:rsidRPr="00950C34">
        <w:rPr>
          <w:rFonts w:asciiTheme="majorBidi" w:hAnsiTheme="majorBidi" w:cstheme="majorBidi"/>
        </w:rPr>
        <w:t xml:space="preserve">by </w:t>
      </w:r>
      <w:r w:rsidR="001810BF" w:rsidRPr="00950C34">
        <w:rPr>
          <w:rFonts w:asciiTheme="majorBidi" w:hAnsiTheme="majorBidi" w:cstheme="majorBidi"/>
        </w:rPr>
        <w:t xml:space="preserve">the </w:t>
      </w:r>
      <w:r w:rsidR="00140324" w:rsidRPr="00950C34">
        <w:rPr>
          <w:rFonts w:asciiTheme="majorBidi" w:hAnsiTheme="majorBidi" w:cstheme="majorBidi"/>
        </w:rPr>
        <w:t>VECM</w:t>
      </w:r>
      <w:r w:rsidR="001810BF" w:rsidRPr="00950C34">
        <w:rPr>
          <w:rFonts w:asciiTheme="majorBidi" w:hAnsiTheme="majorBidi" w:cstheme="majorBidi"/>
        </w:rPr>
        <w:t xml:space="preserve"> approac</w:t>
      </w:r>
      <w:r w:rsidR="00140324" w:rsidRPr="00950C34">
        <w:rPr>
          <w:rFonts w:asciiTheme="majorBidi" w:hAnsiTheme="majorBidi" w:cstheme="majorBidi"/>
        </w:rPr>
        <w:t xml:space="preserve">.  </w:t>
      </w:r>
    </w:p>
    <w:p w:rsidR="00140324" w:rsidRPr="00950C34" w:rsidRDefault="00741DD8" w:rsidP="00F33BC8">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lastRenderedPageBreak/>
        <w:t>According to this technique</w:t>
      </w:r>
      <w:r w:rsidR="00140324" w:rsidRPr="00950C34">
        <w:rPr>
          <w:rFonts w:asciiTheme="majorBidi" w:hAnsiTheme="majorBidi" w:cstheme="majorBidi"/>
        </w:rPr>
        <w:t xml:space="preserve"> the long-run causality is implied through the significance of the t-statistics of the lagged error correction terms while, </w:t>
      </w:r>
      <w:r w:rsidRPr="00950C34">
        <w:rPr>
          <w:rFonts w:asciiTheme="majorBidi" w:hAnsiTheme="majorBidi" w:cstheme="majorBidi"/>
        </w:rPr>
        <w:t xml:space="preserve">the </w:t>
      </w:r>
      <w:r w:rsidR="00140324" w:rsidRPr="00950C34">
        <w:rPr>
          <w:rFonts w:asciiTheme="majorBidi" w:hAnsiTheme="majorBidi" w:cstheme="majorBidi"/>
        </w:rPr>
        <w:t xml:space="preserve">chi-squared statistics of coefficient on the lagged endogenous variables </w:t>
      </w:r>
      <w:r w:rsidR="00D67B07" w:rsidRPr="00950C34">
        <w:rPr>
          <w:rFonts w:asciiTheme="majorBidi" w:hAnsiTheme="majorBidi" w:cstheme="majorBidi"/>
        </w:rPr>
        <w:t xml:space="preserve">by conducting Block Exogeneity Wald test </w:t>
      </w:r>
      <w:r w:rsidRPr="00950C34">
        <w:rPr>
          <w:rFonts w:asciiTheme="majorBidi" w:hAnsiTheme="majorBidi" w:cstheme="majorBidi"/>
        </w:rPr>
        <w:t>indicate</w:t>
      </w:r>
      <w:r w:rsidR="00140324" w:rsidRPr="00950C34">
        <w:rPr>
          <w:rFonts w:asciiTheme="majorBidi" w:hAnsiTheme="majorBidi" w:cstheme="majorBidi"/>
        </w:rPr>
        <w:t xml:space="preserve"> the evidence for the short-run Granger causality. The hypothesis in this test is that the lagged endogenous variable does not Granger</w:t>
      </w:r>
      <w:r w:rsidR="001810BF" w:rsidRPr="00950C34">
        <w:rPr>
          <w:rFonts w:asciiTheme="majorBidi" w:hAnsiTheme="majorBidi" w:cstheme="majorBidi"/>
        </w:rPr>
        <w:t>-cause</w:t>
      </w:r>
      <w:r w:rsidR="00140324" w:rsidRPr="00950C34">
        <w:rPr>
          <w:rFonts w:asciiTheme="majorBidi" w:hAnsiTheme="majorBidi" w:cstheme="majorBidi"/>
        </w:rPr>
        <w:t xml:space="preserve"> the dependent variable.</w:t>
      </w:r>
    </w:p>
    <w:p w:rsidR="00140324" w:rsidRDefault="00140324" w:rsidP="00F33BC8">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t xml:space="preserve">The empirical results of the estimated </w:t>
      </w:r>
      <w:r w:rsidR="00E26F75" w:rsidRPr="00950C34">
        <w:rPr>
          <w:rFonts w:asciiTheme="majorBidi" w:hAnsiTheme="majorBidi" w:cstheme="majorBidi"/>
        </w:rPr>
        <w:t xml:space="preserve">VECM </w:t>
      </w:r>
      <w:r w:rsidRPr="00950C34">
        <w:rPr>
          <w:rFonts w:asciiTheme="majorBidi" w:hAnsiTheme="majorBidi" w:cstheme="majorBidi"/>
        </w:rPr>
        <w:t xml:space="preserve">are presented in Table 3. </w:t>
      </w:r>
      <w:r w:rsidR="00DB3836" w:rsidRPr="00950C34">
        <w:rPr>
          <w:rFonts w:asciiTheme="majorBidi" w:hAnsiTheme="majorBidi" w:cstheme="majorBidi"/>
        </w:rPr>
        <w:t xml:space="preserve">As can be seen, </w:t>
      </w:r>
      <w:r w:rsidRPr="00950C34">
        <w:rPr>
          <w:rFonts w:asciiTheme="majorBidi" w:hAnsiTheme="majorBidi" w:cstheme="majorBidi"/>
        </w:rPr>
        <w:t>the</w:t>
      </w:r>
      <w:r w:rsidR="006F4FFF" w:rsidRPr="00950C34">
        <w:rPr>
          <w:rFonts w:asciiTheme="majorBidi" w:hAnsiTheme="majorBidi" w:cstheme="majorBidi"/>
        </w:rPr>
        <w:t xml:space="preserve"> significant of</w:t>
      </w:r>
      <w:r w:rsidRPr="00950C34">
        <w:rPr>
          <w:rFonts w:asciiTheme="majorBidi" w:hAnsiTheme="majorBidi" w:cstheme="majorBidi"/>
        </w:rPr>
        <w:t xml:space="preserve"> t-statistics </w:t>
      </w:r>
      <w:r w:rsidR="006F4FFF" w:rsidRPr="00950C34">
        <w:rPr>
          <w:rFonts w:asciiTheme="majorBidi" w:hAnsiTheme="majorBidi" w:cstheme="majorBidi"/>
        </w:rPr>
        <w:t>for</w:t>
      </w:r>
      <w:r w:rsidRPr="00950C34">
        <w:rPr>
          <w:rFonts w:asciiTheme="majorBidi" w:hAnsiTheme="majorBidi" w:cstheme="majorBidi"/>
        </w:rPr>
        <w:t xml:space="preserve"> error-correction terms </w:t>
      </w:r>
      <w:r w:rsidR="00A64E45" w:rsidRPr="00950C34">
        <w:rPr>
          <w:rFonts w:asciiTheme="majorBidi" w:hAnsiTheme="majorBidi" w:cstheme="majorBidi"/>
        </w:rPr>
        <w:t>show evidence of uni</w:t>
      </w:r>
      <w:r w:rsidRPr="00950C34">
        <w:rPr>
          <w:rFonts w:asciiTheme="majorBidi" w:hAnsiTheme="majorBidi" w:cstheme="majorBidi"/>
        </w:rPr>
        <w:t xml:space="preserve">directional causality </w:t>
      </w:r>
      <w:r w:rsidR="000F0C78" w:rsidRPr="00950C34">
        <w:rPr>
          <w:rFonts w:asciiTheme="majorBidi" w:hAnsiTheme="majorBidi" w:cstheme="majorBidi"/>
        </w:rPr>
        <w:t>between</w:t>
      </w:r>
      <w:r w:rsidRPr="00950C34">
        <w:rPr>
          <w:rFonts w:asciiTheme="majorBidi" w:hAnsiTheme="majorBidi" w:cstheme="majorBidi"/>
        </w:rPr>
        <w:t xml:space="preserve"> </w:t>
      </w:r>
      <w:r w:rsidR="00E26F75" w:rsidRPr="00950C34">
        <w:rPr>
          <w:rFonts w:asciiTheme="majorBidi" w:hAnsiTheme="majorBidi" w:cstheme="majorBidi"/>
        </w:rPr>
        <w:t xml:space="preserve">Real GDP and Teledensity </w:t>
      </w:r>
      <w:r w:rsidRPr="00950C34">
        <w:rPr>
          <w:rFonts w:asciiTheme="majorBidi" w:hAnsiTheme="majorBidi" w:cstheme="majorBidi"/>
        </w:rPr>
        <w:t xml:space="preserve">that running from </w:t>
      </w:r>
      <w:r w:rsidR="000F0C78" w:rsidRPr="00950C34">
        <w:rPr>
          <w:rFonts w:asciiTheme="majorBidi" w:hAnsiTheme="majorBidi" w:cstheme="majorBidi"/>
        </w:rPr>
        <w:t>latter</w:t>
      </w:r>
      <w:r w:rsidR="00E26F75" w:rsidRPr="00950C34">
        <w:rPr>
          <w:rFonts w:asciiTheme="majorBidi" w:hAnsiTheme="majorBidi" w:cstheme="majorBidi"/>
        </w:rPr>
        <w:t xml:space="preserve"> </w:t>
      </w:r>
      <w:r w:rsidRPr="00950C34">
        <w:rPr>
          <w:rFonts w:asciiTheme="majorBidi" w:hAnsiTheme="majorBidi" w:cstheme="majorBidi"/>
        </w:rPr>
        <w:t xml:space="preserve">to </w:t>
      </w:r>
      <w:r w:rsidR="000F0C78" w:rsidRPr="00950C34">
        <w:rPr>
          <w:rFonts w:asciiTheme="majorBidi" w:hAnsiTheme="majorBidi" w:cstheme="majorBidi"/>
        </w:rPr>
        <w:t>former</w:t>
      </w:r>
      <w:r w:rsidRPr="00950C34">
        <w:rPr>
          <w:rFonts w:asciiTheme="majorBidi" w:hAnsiTheme="majorBidi" w:cstheme="majorBidi"/>
        </w:rPr>
        <w:t xml:space="preserve">. </w:t>
      </w:r>
      <w:r w:rsidR="006F4FFF" w:rsidRPr="00950C34">
        <w:rPr>
          <w:rFonts w:asciiTheme="majorBidi" w:hAnsiTheme="majorBidi" w:cstheme="majorBidi"/>
        </w:rPr>
        <w:t xml:space="preserve">However, </w:t>
      </w:r>
      <w:r w:rsidRPr="00950C34">
        <w:rPr>
          <w:rFonts w:asciiTheme="majorBidi" w:hAnsiTheme="majorBidi" w:cstheme="majorBidi"/>
        </w:rPr>
        <w:t>the results of chi-squared statistics significant level</w:t>
      </w:r>
      <w:r w:rsidR="006F4FFF" w:rsidRPr="00950C34">
        <w:rPr>
          <w:rFonts w:asciiTheme="majorBidi" w:hAnsiTheme="majorBidi" w:cstheme="majorBidi"/>
        </w:rPr>
        <w:t xml:space="preserve"> cannot be rejected </w:t>
      </w:r>
      <w:r w:rsidRPr="00950C34">
        <w:rPr>
          <w:rFonts w:asciiTheme="majorBidi" w:hAnsiTheme="majorBidi" w:cstheme="majorBidi"/>
        </w:rPr>
        <w:t xml:space="preserve">the null hypothesis regarding no causation at both way of directional relationship between </w:t>
      </w:r>
      <w:r w:rsidR="006415FB" w:rsidRPr="00950C34">
        <w:rPr>
          <w:rFonts w:asciiTheme="majorBidi" w:hAnsiTheme="majorBidi" w:cstheme="majorBidi"/>
        </w:rPr>
        <w:t>Real GDP</w:t>
      </w:r>
      <w:r w:rsidR="000F0C78" w:rsidRPr="00950C34">
        <w:rPr>
          <w:rFonts w:asciiTheme="majorBidi" w:hAnsiTheme="majorBidi" w:cstheme="majorBidi"/>
        </w:rPr>
        <w:t xml:space="preserve"> and Teledensity</w:t>
      </w:r>
      <w:r w:rsidR="006415FB" w:rsidRPr="00950C34">
        <w:rPr>
          <w:rFonts w:asciiTheme="majorBidi" w:hAnsiTheme="majorBidi" w:cstheme="majorBidi"/>
        </w:rPr>
        <w:t xml:space="preserve"> </w:t>
      </w:r>
      <w:r w:rsidRPr="00950C34">
        <w:rPr>
          <w:rFonts w:asciiTheme="majorBidi" w:hAnsiTheme="majorBidi" w:cstheme="majorBidi"/>
        </w:rPr>
        <w:t>in the short-run</w:t>
      </w:r>
      <w:r w:rsidR="006F4FFF" w:rsidRPr="00950C34">
        <w:rPr>
          <w:rFonts w:asciiTheme="majorBidi" w:hAnsiTheme="majorBidi" w:cstheme="majorBidi"/>
        </w:rPr>
        <w:t>.</w:t>
      </w:r>
    </w:p>
    <w:p w:rsidR="00CE4963" w:rsidRPr="00950C34" w:rsidRDefault="00CE4963" w:rsidP="00F33BC8">
      <w:pPr>
        <w:tabs>
          <w:tab w:val="left" w:pos="1382"/>
          <w:tab w:val="left" w:pos="7857"/>
        </w:tabs>
        <w:spacing w:after="0" w:line="240" w:lineRule="auto"/>
        <w:rPr>
          <w:rFonts w:asciiTheme="majorBidi" w:hAnsiTheme="majorBidi" w:cstheme="majorBidi"/>
        </w:rPr>
      </w:pPr>
    </w:p>
    <w:tbl>
      <w:tblPr>
        <w:tblStyle w:val="TableGrid"/>
        <w:tblW w:w="0" w:type="auto"/>
        <w:tblLook w:val="04A0"/>
      </w:tblPr>
      <w:tblGrid>
        <w:gridCol w:w="1668"/>
        <w:gridCol w:w="330"/>
        <w:gridCol w:w="1800"/>
        <w:gridCol w:w="540"/>
        <w:gridCol w:w="2430"/>
        <w:gridCol w:w="270"/>
        <w:gridCol w:w="2204"/>
      </w:tblGrid>
      <w:tr w:rsidR="00140324" w:rsidRPr="00950C34" w:rsidTr="000D7C38">
        <w:tc>
          <w:tcPr>
            <w:tcW w:w="9242" w:type="dxa"/>
            <w:gridSpan w:val="7"/>
            <w:tcBorders>
              <w:top w:val="nil"/>
              <w:left w:val="nil"/>
              <w:right w:val="nil"/>
            </w:tcBorders>
          </w:tcPr>
          <w:p w:rsidR="00140324" w:rsidRPr="00950C34" w:rsidRDefault="00287FCE" w:rsidP="00287FCE">
            <w:pPr>
              <w:rPr>
                <w:rFonts w:asciiTheme="majorBidi" w:hAnsiTheme="majorBidi" w:cstheme="majorBidi"/>
              </w:rPr>
            </w:pPr>
            <w:r w:rsidRPr="00287FCE">
              <w:rPr>
                <w:rFonts w:asciiTheme="majorBidi" w:hAnsiTheme="majorBidi" w:cstheme="majorBidi"/>
                <w:bCs/>
              </w:rPr>
              <w:t xml:space="preserve">TABLE </w:t>
            </w:r>
            <w:r>
              <w:rPr>
                <w:rFonts w:asciiTheme="majorBidi" w:hAnsiTheme="majorBidi" w:cstheme="majorBidi"/>
                <w:bCs/>
              </w:rPr>
              <w:t>3:</w:t>
            </w:r>
            <w:r w:rsidR="00140324" w:rsidRPr="00950C34">
              <w:rPr>
                <w:rFonts w:asciiTheme="majorBidi" w:hAnsiTheme="majorBidi" w:cstheme="majorBidi"/>
              </w:rPr>
              <w:t xml:space="preserve"> Granger Causality Results Based on Vector Error-Correction Model (VECM)</w:t>
            </w:r>
          </w:p>
        </w:tc>
      </w:tr>
      <w:tr w:rsidR="00140324" w:rsidRPr="00950C34" w:rsidTr="000D7C38">
        <w:tc>
          <w:tcPr>
            <w:tcW w:w="1668" w:type="dxa"/>
            <w:tcBorders>
              <w:left w:val="nil"/>
              <w:right w:val="nil"/>
            </w:tcBorders>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Dep.Variable</w:t>
            </w:r>
          </w:p>
        </w:tc>
        <w:tc>
          <w:tcPr>
            <w:tcW w:w="330" w:type="dxa"/>
            <w:tcBorders>
              <w:left w:val="nil"/>
              <w:bottom w:val="nil"/>
              <w:right w:val="nil"/>
            </w:tcBorders>
          </w:tcPr>
          <w:p w:rsidR="00140324" w:rsidRPr="00950C34" w:rsidRDefault="00140324" w:rsidP="00CE4963">
            <w:pPr>
              <w:jc w:val="center"/>
              <w:rPr>
                <w:rFonts w:asciiTheme="majorBidi" w:hAnsiTheme="majorBidi" w:cstheme="majorBidi"/>
              </w:rPr>
            </w:pPr>
          </w:p>
        </w:tc>
        <w:tc>
          <w:tcPr>
            <w:tcW w:w="1800" w:type="dxa"/>
            <w:tcBorders>
              <w:left w:val="nil"/>
              <w:right w:val="nil"/>
            </w:tcBorders>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Ind.Variable</w:t>
            </w:r>
          </w:p>
        </w:tc>
        <w:tc>
          <w:tcPr>
            <w:tcW w:w="540" w:type="dxa"/>
            <w:tcBorders>
              <w:left w:val="nil"/>
              <w:bottom w:val="nil"/>
              <w:right w:val="nil"/>
            </w:tcBorders>
          </w:tcPr>
          <w:p w:rsidR="00140324" w:rsidRPr="00950C34" w:rsidRDefault="00140324" w:rsidP="00CE4963">
            <w:pPr>
              <w:jc w:val="center"/>
              <w:rPr>
                <w:rFonts w:asciiTheme="majorBidi" w:hAnsiTheme="majorBidi" w:cstheme="majorBidi"/>
              </w:rPr>
            </w:pPr>
          </w:p>
        </w:tc>
        <w:tc>
          <w:tcPr>
            <w:tcW w:w="2430" w:type="dxa"/>
            <w:tcBorders>
              <w:left w:val="nil"/>
              <w:right w:val="nil"/>
            </w:tcBorders>
          </w:tcPr>
          <w:p w:rsidR="00140324" w:rsidRPr="00950C34" w:rsidRDefault="00E63486" w:rsidP="00CE4963">
            <w:pPr>
              <w:jc w:val="center"/>
              <w:rPr>
                <w:rFonts w:asciiTheme="majorBidi" w:hAnsiTheme="majorBidi" w:cstheme="majorBidi"/>
              </w:rPr>
            </w:pPr>
            <w:r w:rsidRPr="00950C34">
              <w:rPr>
                <w:rFonts w:asciiTheme="majorBidi" w:hAnsiTheme="majorBidi" w:cstheme="majorBidi"/>
              </w:rPr>
              <w:t>chi-squared statistics</w:t>
            </w:r>
          </w:p>
        </w:tc>
        <w:tc>
          <w:tcPr>
            <w:tcW w:w="270" w:type="dxa"/>
            <w:tcBorders>
              <w:left w:val="nil"/>
              <w:bottom w:val="nil"/>
              <w:right w:val="nil"/>
            </w:tcBorders>
          </w:tcPr>
          <w:p w:rsidR="00140324" w:rsidRPr="00950C34" w:rsidRDefault="00140324" w:rsidP="00CE4963">
            <w:pPr>
              <w:jc w:val="center"/>
              <w:rPr>
                <w:rFonts w:asciiTheme="majorBidi" w:hAnsiTheme="majorBidi" w:cstheme="majorBidi"/>
              </w:rPr>
            </w:pPr>
          </w:p>
        </w:tc>
        <w:tc>
          <w:tcPr>
            <w:tcW w:w="2204" w:type="dxa"/>
            <w:tcBorders>
              <w:left w:val="nil"/>
              <w:right w:val="nil"/>
            </w:tcBorders>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T-Statistic: ECT</w:t>
            </w:r>
            <w:r w:rsidRPr="00950C34">
              <w:rPr>
                <w:rFonts w:asciiTheme="majorBidi" w:hAnsiTheme="majorBidi" w:cstheme="majorBidi"/>
                <w:vertAlign w:val="subscript"/>
              </w:rPr>
              <w:t>t-1</w:t>
            </w:r>
          </w:p>
        </w:tc>
      </w:tr>
      <w:tr w:rsidR="00140324" w:rsidRPr="00950C34" w:rsidTr="000D7C38">
        <w:tc>
          <w:tcPr>
            <w:tcW w:w="1668" w:type="dxa"/>
            <w:tcBorders>
              <w:left w:val="nil"/>
              <w:bottom w:val="nil"/>
              <w:right w:val="nil"/>
            </w:tcBorders>
          </w:tcPr>
          <w:p w:rsidR="00140324" w:rsidRPr="00950C34" w:rsidRDefault="00140324" w:rsidP="00F33BC8">
            <w:pPr>
              <w:rPr>
                <w:rFonts w:asciiTheme="majorBidi" w:hAnsiTheme="majorBidi" w:cstheme="majorBidi"/>
              </w:rPr>
            </w:pPr>
            <w:r w:rsidRPr="00950C34">
              <w:rPr>
                <w:rFonts w:asciiTheme="majorBidi" w:hAnsiTheme="majorBidi" w:cstheme="majorBidi"/>
              </w:rPr>
              <w:t>ΔReal GDP</w:t>
            </w:r>
          </w:p>
        </w:tc>
        <w:tc>
          <w:tcPr>
            <w:tcW w:w="330" w:type="dxa"/>
            <w:tcBorders>
              <w:top w:val="nil"/>
              <w:left w:val="nil"/>
              <w:bottom w:val="nil"/>
              <w:right w:val="nil"/>
            </w:tcBorders>
          </w:tcPr>
          <w:p w:rsidR="00140324" w:rsidRPr="00950C34" w:rsidRDefault="00140324" w:rsidP="00F33BC8">
            <w:pPr>
              <w:rPr>
                <w:rFonts w:asciiTheme="majorBidi" w:hAnsiTheme="majorBidi" w:cstheme="majorBidi"/>
              </w:rPr>
            </w:pPr>
          </w:p>
        </w:tc>
        <w:tc>
          <w:tcPr>
            <w:tcW w:w="1800" w:type="dxa"/>
            <w:tcBorders>
              <w:left w:val="nil"/>
              <w:bottom w:val="nil"/>
              <w:right w:val="nil"/>
            </w:tcBorders>
          </w:tcPr>
          <w:p w:rsidR="00140324" w:rsidRPr="00950C34" w:rsidRDefault="00140324" w:rsidP="00F33BC8">
            <w:pPr>
              <w:rPr>
                <w:rFonts w:asciiTheme="majorBidi" w:hAnsiTheme="majorBidi" w:cstheme="majorBidi"/>
              </w:rPr>
            </w:pPr>
            <w:r w:rsidRPr="00950C34">
              <w:rPr>
                <w:rFonts w:asciiTheme="majorBidi" w:hAnsiTheme="majorBidi" w:cstheme="majorBidi"/>
              </w:rPr>
              <w:t>ΔTeledensity</w:t>
            </w:r>
          </w:p>
        </w:tc>
        <w:tc>
          <w:tcPr>
            <w:tcW w:w="540" w:type="dxa"/>
            <w:tcBorders>
              <w:top w:val="nil"/>
              <w:left w:val="nil"/>
              <w:bottom w:val="nil"/>
              <w:right w:val="nil"/>
            </w:tcBorders>
          </w:tcPr>
          <w:p w:rsidR="00140324" w:rsidRPr="00950C34" w:rsidRDefault="00140324" w:rsidP="00F33BC8">
            <w:pPr>
              <w:rPr>
                <w:rFonts w:asciiTheme="majorBidi" w:hAnsiTheme="majorBidi" w:cstheme="majorBidi"/>
              </w:rPr>
            </w:pPr>
          </w:p>
        </w:tc>
        <w:tc>
          <w:tcPr>
            <w:tcW w:w="2430" w:type="dxa"/>
            <w:tcBorders>
              <w:left w:val="nil"/>
              <w:bottom w:val="nil"/>
              <w:right w:val="nil"/>
            </w:tcBorders>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0.562</w:t>
            </w:r>
          </w:p>
        </w:tc>
        <w:tc>
          <w:tcPr>
            <w:tcW w:w="270" w:type="dxa"/>
            <w:tcBorders>
              <w:top w:val="nil"/>
              <w:left w:val="nil"/>
              <w:bottom w:val="nil"/>
              <w:right w:val="nil"/>
            </w:tcBorders>
          </w:tcPr>
          <w:p w:rsidR="00140324" w:rsidRPr="00950C34" w:rsidRDefault="00140324" w:rsidP="00CE4963">
            <w:pPr>
              <w:jc w:val="center"/>
              <w:rPr>
                <w:rFonts w:asciiTheme="majorBidi" w:hAnsiTheme="majorBidi" w:cstheme="majorBidi"/>
              </w:rPr>
            </w:pPr>
          </w:p>
        </w:tc>
        <w:tc>
          <w:tcPr>
            <w:tcW w:w="2204" w:type="dxa"/>
            <w:tcBorders>
              <w:left w:val="nil"/>
              <w:bottom w:val="nil"/>
              <w:right w:val="nil"/>
            </w:tcBorders>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-0.528*</w:t>
            </w:r>
          </w:p>
        </w:tc>
      </w:tr>
      <w:tr w:rsidR="00140324" w:rsidRPr="00950C34" w:rsidTr="000D7C38">
        <w:tc>
          <w:tcPr>
            <w:tcW w:w="1668" w:type="dxa"/>
            <w:tcBorders>
              <w:top w:val="nil"/>
              <w:left w:val="nil"/>
              <w:right w:val="nil"/>
            </w:tcBorders>
          </w:tcPr>
          <w:p w:rsidR="00140324" w:rsidRPr="00950C34" w:rsidRDefault="00140324" w:rsidP="00F33BC8">
            <w:pPr>
              <w:rPr>
                <w:rFonts w:asciiTheme="majorBidi" w:hAnsiTheme="majorBidi" w:cstheme="majorBidi"/>
              </w:rPr>
            </w:pPr>
            <w:r w:rsidRPr="00950C34">
              <w:rPr>
                <w:rFonts w:asciiTheme="majorBidi" w:hAnsiTheme="majorBidi" w:cstheme="majorBidi"/>
              </w:rPr>
              <w:t>ΔTeledensity</w:t>
            </w:r>
          </w:p>
        </w:tc>
        <w:tc>
          <w:tcPr>
            <w:tcW w:w="330" w:type="dxa"/>
            <w:tcBorders>
              <w:top w:val="nil"/>
              <w:left w:val="nil"/>
              <w:right w:val="nil"/>
            </w:tcBorders>
          </w:tcPr>
          <w:p w:rsidR="00140324" w:rsidRPr="00950C34" w:rsidRDefault="00140324" w:rsidP="00F33BC8">
            <w:pPr>
              <w:rPr>
                <w:rFonts w:asciiTheme="majorBidi" w:hAnsiTheme="majorBidi" w:cstheme="majorBidi"/>
              </w:rPr>
            </w:pPr>
          </w:p>
        </w:tc>
        <w:tc>
          <w:tcPr>
            <w:tcW w:w="1800" w:type="dxa"/>
            <w:tcBorders>
              <w:top w:val="nil"/>
              <w:left w:val="nil"/>
              <w:right w:val="nil"/>
            </w:tcBorders>
          </w:tcPr>
          <w:p w:rsidR="00140324" w:rsidRPr="00950C34" w:rsidRDefault="00140324" w:rsidP="00F33BC8">
            <w:pPr>
              <w:rPr>
                <w:rFonts w:asciiTheme="majorBidi" w:hAnsiTheme="majorBidi" w:cstheme="majorBidi"/>
              </w:rPr>
            </w:pPr>
            <w:r w:rsidRPr="00950C34">
              <w:rPr>
                <w:rFonts w:asciiTheme="majorBidi" w:hAnsiTheme="majorBidi" w:cstheme="majorBidi"/>
              </w:rPr>
              <w:t>ΔReal GDP</w:t>
            </w:r>
          </w:p>
        </w:tc>
        <w:tc>
          <w:tcPr>
            <w:tcW w:w="540" w:type="dxa"/>
            <w:tcBorders>
              <w:top w:val="nil"/>
              <w:left w:val="nil"/>
              <w:right w:val="nil"/>
            </w:tcBorders>
          </w:tcPr>
          <w:p w:rsidR="00140324" w:rsidRPr="00950C34" w:rsidRDefault="00140324" w:rsidP="00F33BC8">
            <w:pPr>
              <w:rPr>
                <w:rFonts w:asciiTheme="majorBidi" w:hAnsiTheme="majorBidi" w:cstheme="majorBidi"/>
              </w:rPr>
            </w:pPr>
          </w:p>
        </w:tc>
        <w:tc>
          <w:tcPr>
            <w:tcW w:w="2430" w:type="dxa"/>
            <w:tcBorders>
              <w:top w:val="nil"/>
              <w:left w:val="nil"/>
              <w:right w:val="nil"/>
            </w:tcBorders>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0.647</w:t>
            </w:r>
          </w:p>
        </w:tc>
        <w:tc>
          <w:tcPr>
            <w:tcW w:w="270" w:type="dxa"/>
            <w:tcBorders>
              <w:top w:val="nil"/>
              <w:left w:val="nil"/>
              <w:right w:val="nil"/>
            </w:tcBorders>
          </w:tcPr>
          <w:p w:rsidR="00140324" w:rsidRPr="00950C34" w:rsidRDefault="00140324" w:rsidP="00CE4963">
            <w:pPr>
              <w:jc w:val="center"/>
              <w:rPr>
                <w:rFonts w:asciiTheme="majorBidi" w:hAnsiTheme="majorBidi" w:cstheme="majorBidi"/>
              </w:rPr>
            </w:pPr>
          </w:p>
        </w:tc>
        <w:tc>
          <w:tcPr>
            <w:tcW w:w="2204" w:type="dxa"/>
            <w:tcBorders>
              <w:top w:val="nil"/>
              <w:left w:val="nil"/>
              <w:right w:val="nil"/>
            </w:tcBorders>
          </w:tcPr>
          <w:p w:rsidR="00140324" w:rsidRPr="00950C34" w:rsidRDefault="00140324" w:rsidP="00CE4963">
            <w:pPr>
              <w:jc w:val="center"/>
              <w:rPr>
                <w:rFonts w:asciiTheme="majorBidi" w:hAnsiTheme="majorBidi" w:cstheme="majorBidi"/>
              </w:rPr>
            </w:pPr>
            <w:r w:rsidRPr="00950C34">
              <w:rPr>
                <w:rFonts w:asciiTheme="majorBidi" w:hAnsiTheme="majorBidi" w:cstheme="majorBidi"/>
              </w:rPr>
              <w:t>-0.061</w:t>
            </w:r>
          </w:p>
        </w:tc>
      </w:tr>
    </w:tbl>
    <w:p w:rsidR="00140324" w:rsidRDefault="00140324" w:rsidP="00F33BC8">
      <w:pPr>
        <w:spacing w:after="0" w:line="240" w:lineRule="auto"/>
        <w:rPr>
          <w:rFonts w:asciiTheme="majorBidi" w:hAnsiTheme="majorBidi" w:cstheme="majorBidi"/>
          <w:sz w:val="20"/>
          <w:szCs w:val="20"/>
        </w:rPr>
      </w:pPr>
      <w:r w:rsidRPr="00950C34">
        <w:rPr>
          <w:rFonts w:asciiTheme="majorBidi" w:hAnsiTheme="majorBidi" w:cstheme="majorBidi"/>
        </w:rPr>
        <w:t xml:space="preserve"> </w:t>
      </w:r>
      <w:r w:rsidRPr="00287FCE">
        <w:rPr>
          <w:rFonts w:asciiTheme="majorBidi" w:hAnsiTheme="majorBidi" w:cstheme="majorBidi"/>
          <w:sz w:val="20"/>
          <w:szCs w:val="20"/>
        </w:rPr>
        <w:t>Two variables are in first differences (denoted by Δ) of natural logarithms with the exception of the lagged error-correction terms (ECT</w:t>
      </w:r>
      <w:r w:rsidRPr="00287FCE">
        <w:rPr>
          <w:rFonts w:asciiTheme="majorBidi" w:hAnsiTheme="majorBidi" w:cstheme="majorBidi"/>
          <w:sz w:val="20"/>
          <w:szCs w:val="20"/>
          <w:vertAlign w:val="subscript"/>
        </w:rPr>
        <w:t>t-1</w:t>
      </w:r>
      <w:r w:rsidRPr="00287FCE">
        <w:rPr>
          <w:rFonts w:asciiTheme="majorBidi" w:hAnsiTheme="majorBidi" w:cstheme="majorBidi"/>
          <w:sz w:val="20"/>
          <w:szCs w:val="20"/>
        </w:rPr>
        <w:t>) generated from Johansen order of cointegration tests conducted in Table 2. Diagnostic tests (not reported) conducted for various orders of serial correlation, heteroskedasticity, functional form, and normality were overall found to be satisfactory.  (*) indicates the Significant at 1% level</w:t>
      </w:r>
      <w:r w:rsidR="00287FCE">
        <w:rPr>
          <w:rFonts w:asciiTheme="majorBidi" w:hAnsiTheme="majorBidi" w:cstheme="majorBidi"/>
          <w:sz w:val="20"/>
          <w:szCs w:val="20"/>
        </w:rPr>
        <w:t>.</w:t>
      </w:r>
    </w:p>
    <w:p w:rsidR="00CE4963" w:rsidRPr="00287FCE" w:rsidRDefault="00CE4963" w:rsidP="00F33BC8">
      <w:pPr>
        <w:spacing w:after="0" w:line="240" w:lineRule="auto"/>
        <w:rPr>
          <w:rFonts w:asciiTheme="majorBidi" w:hAnsiTheme="majorBidi" w:cstheme="majorBidi"/>
          <w:sz w:val="20"/>
          <w:szCs w:val="20"/>
        </w:rPr>
      </w:pPr>
    </w:p>
    <w:p w:rsidR="00140324" w:rsidRDefault="006415FB" w:rsidP="00F33BC8">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t>While</w:t>
      </w:r>
      <w:r w:rsidR="00C6749C" w:rsidRPr="00950C34">
        <w:rPr>
          <w:rFonts w:asciiTheme="majorBidi" w:hAnsiTheme="majorBidi" w:cstheme="majorBidi"/>
        </w:rPr>
        <w:t>,</w:t>
      </w:r>
      <w:r w:rsidR="00140324" w:rsidRPr="00950C34">
        <w:rPr>
          <w:rFonts w:asciiTheme="majorBidi" w:hAnsiTheme="majorBidi" w:cstheme="majorBidi"/>
        </w:rPr>
        <w:t xml:space="preserve"> the VECM</w:t>
      </w:r>
      <w:r w:rsidRPr="00950C34">
        <w:rPr>
          <w:rFonts w:asciiTheme="majorBidi" w:hAnsiTheme="majorBidi" w:cstheme="majorBidi"/>
        </w:rPr>
        <w:t xml:space="preserve"> analysis</w:t>
      </w:r>
      <w:r w:rsidR="00140324" w:rsidRPr="00950C34">
        <w:rPr>
          <w:rFonts w:asciiTheme="majorBidi" w:hAnsiTheme="majorBidi" w:cstheme="majorBidi"/>
        </w:rPr>
        <w:t xml:space="preserve"> </w:t>
      </w:r>
      <w:r w:rsidR="00FD3A2F" w:rsidRPr="00950C34">
        <w:rPr>
          <w:rFonts w:asciiTheme="majorBidi" w:hAnsiTheme="majorBidi" w:cstheme="majorBidi"/>
        </w:rPr>
        <w:t>de</w:t>
      </w:r>
      <w:r w:rsidR="006B0098" w:rsidRPr="00950C34">
        <w:rPr>
          <w:rFonts w:asciiTheme="majorBidi" w:hAnsiTheme="majorBidi" w:cstheme="majorBidi"/>
        </w:rPr>
        <w:t>te</w:t>
      </w:r>
      <w:r w:rsidR="00FD3A2F" w:rsidRPr="00950C34">
        <w:rPr>
          <w:rFonts w:asciiTheme="majorBidi" w:hAnsiTheme="majorBidi" w:cstheme="majorBidi"/>
        </w:rPr>
        <w:t>rmine</w:t>
      </w:r>
      <w:r w:rsidR="00140324" w:rsidRPr="00950C34">
        <w:rPr>
          <w:rFonts w:asciiTheme="majorBidi" w:hAnsiTheme="majorBidi" w:cstheme="majorBidi"/>
        </w:rPr>
        <w:t xml:space="preserve"> the exogeneity or endogeneity of a variable</w:t>
      </w:r>
      <w:r w:rsidR="00FD3A2F" w:rsidRPr="00950C34">
        <w:rPr>
          <w:rFonts w:asciiTheme="majorBidi" w:hAnsiTheme="majorBidi" w:cstheme="majorBidi"/>
        </w:rPr>
        <w:t>s</w:t>
      </w:r>
      <w:r w:rsidR="00140324" w:rsidRPr="00950C34">
        <w:rPr>
          <w:rFonts w:asciiTheme="majorBidi" w:hAnsiTheme="majorBidi" w:cstheme="majorBidi"/>
        </w:rPr>
        <w:t xml:space="preserve"> and also the direction of Granger causality within the sample period, the VDCs </w:t>
      </w:r>
      <w:r w:rsidR="006B0098" w:rsidRPr="00950C34">
        <w:rPr>
          <w:rFonts w:asciiTheme="majorBidi" w:hAnsiTheme="majorBidi" w:cstheme="majorBidi"/>
        </w:rPr>
        <w:t xml:space="preserve">can help us </w:t>
      </w:r>
      <w:r w:rsidR="00140324" w:rsidRPr="00950C34">
        <w:rPr>
          <w:rFonts w:asciiTheme="majorBidi" w:hAnsiTheme="majorBidi" w:cstheme="majorBidi"/>
        </w:rPr>
        <w:t xml:space="preserve">to </w:t>
      </w:r>
      <w:r w:rsidR="000F1623" w:rsidRPr="00950C34">
        <w:rPr>
          <w:rFonts w:asciiTheme="majorBidi" w:hAnsiTheme="majorBidi" w:cstheme="majorBidi"/>
        </w:rPr>
        <w:t>carry</w:t>
      </w:r>
      <w:r w:rsidR="006B0098" w:rsidRPr="00950C34">
        <w:rPr>
          <w:rFonts w:asciiTheme="majorBidi" w:hAnsiTheme="majorBidi" w:cstheme="majorBidi"/>
        </w:rPr>
        <w:t xml:space="preserve"> out</w:t>
      </w:r>
      <w:r w:rsidR="00140324" w:rsidRPr="00950C34">
        <w:rPr>
          <w:rFonts w:asciiTheme="majorBidi" w:hAnsiTheme="majorBidi" w:cstheme="majorBidi"/>
        </w:rPr>
        <w:t xml:space="preserve"> an out-of-sample causality test.</w:t>
      </w:r>
      <w:r w:rsidR="000479D7" w:rsidRPr="00950C34">
        <w:rPr>
          <w:rFonts w:asciiTheme="majorBidi" w:hAnsiTheme="majorBidi" w:cstheme="majorBidi"/>
        </w:rPr>
        <w:t xml:space="preserve"> VDCs </w:t>
      </w:r>
      <w:r w:rsidR="009076A2" w:rsidRPr="00950C34">
        <w:rPr>
          <w:rFonts w:asciiTheme="majorBidi" w:hAnsiTheme="majorBidi" w:cstheme="majorBidi"/>
        </w:rPr>
        <w:t xml:space="preserve">measures the contribution of each </w:t>
      </w:r>
      <w:r w:rsidR="00D37233" w:rsidRPr="00950C34">
        <w:rPr>
          <w:rFonts w:asciiTheme="majorBidi" w:hAnsiTheme="majorBidi" w:cstheme="majorBidi"/>
        </w:rPr>
        <w:t>shock</w:t>
      </w:r>
      <w:r w:rsidR="009076A2" w:rsidRPr="00950C34">
        <w:rPr>
          <w:rFonts w:asciiTheme="majorBidi" w:hAnsiTheme="majorBidi" w:cstheme="majorBidi"/>
        </w:rPr>
        <w:t xml:space="preserve"> in </w:t>
      </w:r>
      <w:r w:rsidR="000F1623" w:rsidRPr="00950C34">
        <w:rPr>
          <w:rFonts w:asciiTheme="majorBidi" w:hAnsiTheme="majorBidi" w:cstheme="majorBidi"/>
        </w:rPr>
        <w:t xml:space="preserve">the </w:t>
      </w:r>
      <w:r w:rsidR="009076A2" w:rsidRPr="00950C34">
        <w:rPr>
          <w:rFonts w:asciiTheme="majorBidi" w:hAnsiTheme="majorBidi" w:cstheme="majorBidi"/>
        </w:rPr>
        <w:t>system</w:t>
      </w:r>
      <w:r w:rsidR="00D37233" w:rsidRPr="00950C34">
        <w:rPr>
          <w:rFonts w:asciiTheme="majorBidi" w:hAnsiTheme="majorBidi" w:cstheme="majorBidi"/>
        </w:rPr>
        <w:t>.</w:t>
      </w:r>
      <w:r w:rsidR="00140324" w:rsidRPr="00950C34">
        <w:rPr>
          <w:rFonts w:asciiTheme="majorBidi" w:hAnsiTheme="majorBidi" w:cstheme="majorBidi"/>
        </w:rPr>
        <w:t xml:space="preserve"> </w:t>
      </w:r>
      <w:r w:rsidR="000F1623" w:rsidRPr="00950C34">
        <w:rPr>
          <w:rFonts w:asciiTheme="majorBidi" w:hAnsiTheme="majorBidi" w:cstheme="majorBidi"/>
        </w:rPr>
        <w:t>Table</w:t>
      </w:r>
      <w:r w:rsidR="005B6E1A" w:rsidRPr="00950C34">
        <w:rPr>
          <w:rFonts w:asciiTheme="majorBidi" w:hAnsiTheme="majorBidi" w:cstheme="majorBidi"/>
        </w:rPr>
        <w:t xml:space="preserve"> 4 show</w:t>
      </w:r>
      <w:r w:rsidR="000F1623" w:rsidRPr="00950C34">
        <w:rPr>
          <w:rFonts w:asciiTheme="majorBidi" w:hAnsiTheme="majorBidi" w:cstheme="majorBidi"/>
        </w:rPr>
        <w:t>s</w:t>
      </w:r>
      <w:r w:rsidR="004D6C94" w:rsidRPr="00950C34">
        <w:rPr>
          <w:rFonts w:asciiTheme="majorBidi" w:hAnsiTheme="majorBidi" w:cstheme="majorBidi"/>
        </w:rPr>
        <w:t xml:space="preserve"> </w:t>
      </w:r>
      <w:r w:rsidR="00140324" w:rsidRPr="00950C34">
        <w:rPr>
          <w:rFonts w:asciiTheme="majorBidi" w:hAnsiTheme="majorBidi" w:cstheme="majorBidi"/>
        </w:rPr>
        <w:t>the analysis of VDCs</w:t>
      </w:r>
      <w:r w:rsidR="004D6C94" w:rsidRPr="00950C34">
        <w:rPr>
          <w:rFonts w:asciiTheme="majorBidi" w:hAnsiTheme="majorBidi" w:cstheme="majorBidi"/>
        </w:rPr>
        <w:t xml:space="preserve"> that </w:t>
      </w:r>
      <w:r w:rsidR="000F0C78" w:rsidRPr="00950C34">
        <w:rPr>
          <w:rFonts w:asciiTheme="majorBidi" w:hAnsiTheme="majorBidi" w:cstheme="majorBidi"/>
        </w:rPr>
        <w:t>indicate</w:t>
      </w:r>
      <w:r w:rsidR="000F1623" w:rsidRPr="00950C34">
        <w:rPr>
          <w:rFonts w:asciiTheme="majorBidi" w:hAnsiTheme="majorBidi" w:cstheme="majorBidi"/>
        </w:rPr>
        <w:t>s</w:t>
      </w:r>
      <w:r w:rsidR="00140324" w:rsidRPr="00950C34">
        <w:rPr>
          <w:rFonts w:asciiTheme="majorBidi" w:hAnsiTheme="majorBidi" w:cstheme="majorBidi"/>
        </w:rPr>
        <w:t xml:space="preserve"> Teledensity variable is relatively exogenous. As it is reported </w:t>
      </w:r>
      <w:r w:rsidR="008F5FE7" w:rsidRPr="00950C34">
        <w:rPr>
          <w:rFonts w:asciiTheme="majorBidi" w:hAnsiTheme="majorBidi" w:cstheme="majorBidi"/>
        </w:rPr>
        <w:t>(</w:t>
      </w:r>
      <w:r w:rsidR="00140324" w:rsidRPr="00950C34">
        <w:rPr>
          <w:rFonts w:asciiTheme="majorBidi" w:hAnsiTheme="majorBidi" w:cstheme="majorBidi"/>
        </w:rPr>
        <w:t>table 4</w:t>
      </w:r>
      <w:r w:rsidR="008F5FE7" w:rsidRPr="00950C34">
        <w:rPr>
          <w:rFonts w:asciiTheme="majorBidi" w:hAnsiTheme="majorBidi" w:cstheme="majorBidi"/>
        </w:rPr>
        <w:t>)</w:t>
      </w:r>
      <w:r w:rsidR="000F1623" w:rsidRPr="00950C34">
        <w:rPr>
          <w:rFonts w:asciiTheme="majorBidi" w:hAnsiTheme="majorBidi" w:cstheme="majorBidi"/>
        </w:rPr>
        <w:t xml:space="preserve"> after</w:t>
      </w:r>
      <w:r w:rsidR="00140324" w:rsidRPr="00950C34">
        <w:rPr>
          <w:rFonts w:asciiTheme="majorBidi" w:hAnsiTheme="majorBidi" w:cstheme="majorBidi"/>
        </w:rPr>
        <w:t xml:space="preserve"> </w:t>
      </w:r>
      <w:r w:rsidR="00A04855" w:rsidRPr="00950C34">
        <w:rPr>
          <w:rFonts w:asciiTheme="majorBidi" w:hAnsiTheme="majorBidi" w:cstheme="majorBidi"/>
        </w:rPr>
        <w:t>5</w:t>
      </w:r>
      <w:r w:rsidR="00140324" w:rsidRPr="00950C34">
        <w:rPr>
          <w:rFonts w:asciiTheme="majorBidi" w:hAnsiTheme="majorBidi" w:cstheme="majorBidi"/>
        </w:rPr>
        <w:t xml:space="preserve">-year, </w:t>
      </w:r>
      <w:r w:rsidR="00A04855" w:rsidRPr="00950C34">
        <w:rPr>
          <w:rFonts w:asciiTheme="majorBidi" w:hAnsiTheme="majorBidi" w:cstheme="majorBidi"/>
        </w:rPr>
        <w:t>less than</w:t>
      </w:r>
      <w:r w:rsidR="00140324" w:rsidRPr="00950C34">
        <w:rPr>
          <w:rFonts w:asciiTheme="majorBidi" w:hAnsiTheme="majorBidi" w:cstheme="majorBidi"/>
        </w:rPr>
        <w:t xml:space="preserve"> </w:t>
      </w:r>
      <w:r w:rsidR="00A04855" w:rsidRPr="00950C34">
        <w:rPr>
          <w:rFonts w:asciiTheme="majorBidi" w:hAnsiTheme="majorBidi" w:cstheme="majorBidi"/>
        </w:rPr>
        <w:t>50</w:t>
      </w:r>
      <w:r w:rsidR="00140324" w:rsidRPr="00950C34">
        <w:rPr>
          <w:rFonts w:asciiTheme="majorBidi" w:hAnsiTheme="majorBidi" w:cstheme="majorBidi"/>
        </w:rPr>
        <w:t xml:space="preserve"> percent of the forecast error variance of </w:t>
      </w:r>
      <w:r w:rsidR="00A04855" w:rsidRPr="00950C34">
        <w:rPr>
          <w:rFonts w:asciiTheme="majorBidi" w:hAnsiTheme="majorBidi" w:cstheme="majorBidi"/>
        </w:rPr>
        <w:t>Real GDP</w:t>
      </w:r>
      <w:r w:rsidR="00140324" w:rsidRPr="00950C34">
        <w:rPr>
          <w:rFonts w:asciiTheme="majorBidi" w:hAnsiTheme="majorBidi" w:cstheme="majorBidi"/>
        </w:rPr>
        <w:t xml:space="preserve"> is explained by its own shocks (compared to </w:t>
      </w:r>
      <w:r w:rsidR="00A04855" w:rsidRPr="00950C34">
        <w:rPr>
          <w:rFonts w:asciiTheme="majorBidi" w:hAnsiTheme="majorBidi" w:cstheme="majorBidi"/>
        </w:rPr>
        <w:t>99</w:t>
      </w:r>
      <w:r w:rsidR="00140324" w:rsidRPr="00950C34">
        <w:rPr>
          <w:rFonts w:asciiTheme="majorBidi" w:hAnsiTheme="majorBidi" w:cstheme="majorBidi"/>
        </w:rPr>
        <w:t xml:space="preserve"> percent in the case of </w:t>
      </w:r>
      <w:r w:rsidR="00A04855" w:rsidRPr="00950C34">
        <w:rPr>
          <w:rFonts w:asciiTheme="majorBidi" w:hAnsiTheme="majorBidi" w:cstheme="majorBidi"/>
        </w:rPr>
        <w:t>Teledencity</w:t>
      </w:r>
      <w:r w:rsidR="00140324" w:rsidRPr="00950C34">
        <w:rPr>
          <w:rFonts w:asciiTheme="majorBidi" w:hAnsiTheme="majorBidi" w:cstheme="majorBidi"/>
        </w:rPr>
        <w:t xml:space="preserve">). Furthermore, a cross-check of variance decompositions indicates that while Teledencity explains </w:t>
      </w:r>
      <w:r w:rsidR="00A04855" w:rsidRPr="00950C34">
        <w:rPr>
          <w:rFonts w:asciiTheme="majorBidi" w:hAnsiTheme="majorBidi" w:cstheme="majorBidi"/>
        </w:rPr>
        <w:t>more than</w:t>
      </w:r>
      <w:r w:rsidR="00140324" w:rsidRPr="00950C34">
        <w:rPr>
          <w:rFonts w:asciiTheme="majorBidi" w:hAnsiTheme="majorBidi" w:cstheme="majorBidi"/>
        </w:rPr>
        <w:t xml:space="preserve"> </w:t>
      </w:r>
      <w:r w:rsidR="00A04855" w:rsidRPr="00950C34">
        <w:rPr>
          <w:rFonts w:asciiTheme="majorBidi" w:hAnsiTheme="majorBidi" w:cstheme="majorBidi"/>
        </w:rPr>
        <w:t>50 to 83</w:t>
      </w:r>
      <w:r w:rsidR="00140324" w:rsidRPr="00950C34">
        <w:rPr>
          <w:rFonts w:asciiTheme="majorBidi" w:hAnsiTheme="majorBidi" w:cstheme="majorBidi"/>
        </w:rPr>
        <w:t xml:space="preserve"> percent of the variance of Real GDP,</w:t>
      </w:r>
      <w:r w:rsidR="00AF3278" w:rsidRPr="00950C34">
        <w:rPr>
          <w:rFonts w:asciiTheme="majorBidi" w:hAnsiTheme="majorBidi" w:cstheme="majorBidi"/>
        </w:rPr>
        <w:t xml:space="preserve"> at the same time,</w:t>
      </w:r>
      <w:r w:rsidR="00A04855" w:rsidRPr="00950C34">
        <w:rPr>
          <w:rFonts w:asciiTheme="majorBidi" w:hAnsiTheme="majorBidi" w:cstheme="majorBidi"/>
        </w:rPr>
        <w:t xml:space="preserve"> Real GDP explains less than 1</w:t>
      </w:r>
      <w:r w:rsidR="00140324" w:rsidRPr="00950C34">
        <w:rPr>
          <w:rFonts w:asciiTheme="majorBidi" w:hAnsiTheme="majorBidi" w:cstheme="majorBidi"/>
        </w:rPr>
        <w:t xml:space="preserve"> percent of the variance of Teledencity.</w:t>
      </w:r>
    </w:p>
    <w:p w:rsidR="00287FCE" w:rsidRPr="00950C34" w:rsidRDefault="00287FCE" w:rsidP="00F33BC8">
      <w:pPr>
        <w:tabs>
          <w:tab w:val="left" w:pos="1382"/>
          <w:tab w:val="left" w:pos="7857"/>
        </w:tabs>
        <w:spacing w:after="0" w:line="240" w:lineRule="auto"/>
        <w:rPr>
          <w:rFonts w:asciiTheme="majorBidi" w:hAnsiTheme="majorBidi" w:cstheme="majorBidi"/>
        </w:rPr>
      </w:pPr>
    </w:p>
    <w:tbl>
      <w:tblPr>
        <w:tblStyle w:val="TableGrid"/>
        <w:tblW w:w="0" w:type="auto"/>
        <w:jc w:val="center"/>
        <w:tblInd w:w="-152" w:type="dxa"/>
        <w:tblBorders>
          <w:left w:val="none" w:sz="0" w:space="0" w:color="auto"/>
          <w:right w:val="none" w:sz="0" w:space="0" w:color="auto"/>
          <w:insideV w:val="none" w:sz="0" w:space="0" w:color="auto"/>
        </w:tblBorders>
        <w:tblLayout w:type="fixed"/>
        <w:tblCellMar>
          <w:left w:w="0" w:type="dxa"/>
          <w:right w:w="0" w:type="dxa"/>
        </w:tblCellMar>
        <w:tblLook w:val="04A0"/>
      </w:tblPr>
      <w:tblGrid>
        <w:gridCol w:w="719"/>
        <w:gridCol w:w="208"/>
        <w:gridCol w:w="1607"/>
        <w:gridCol w:w="1543"/>
        <w:gridCol w:w="360"/>
        <w:gridCol w:w="1877"/>
        <w:gridCol w:w="1633"/>
      </w:tblGrid>
      <w:tr w:rsidR="00F50DC4" w:rsidRPr="00950C34" w:rsidTr="00CE4963">
        <w:trPr>
          <w:trHeight w:val="20"/>
          <w:jc w:val="center"/>
        </w:trPr>
        <w:tc>
          <w:tcPr>
            <w:tcW w:w="6314" w:type="dxa"/>
            <w:gridSpan w:val="6"/>
            <w:tcBorders>
              <w:top w:val="nil"/>
            </w:tcBorders>
            <w:vAlign w:val="center"/>
          </w:tcPr>
          <w:p w:rsidR="00F50DC4" w:rsidRPr="00950C34" w:rsidRDefault="00287FCE" w:rsidP="00F33BC8">
            <w:pPr>
              <w:rPr>
                <w:rFonts w:asciiTheme="majorBidi" w:hAnsiTheme="majorBidi" w:cstheme="majorBidi"/>
              </w:rPr>
            </w:pPr>
            <w:r w:rsidRPr="00287FCE">
              <w:rPr>
                <w:rFonts w:asciiTheme="majorBidi" w:hAnsiTheme="majorBidi" w:cstheme="majorBidi"/>
                <w:bCs/>
              </w:rPr>
              <w:t>TABLE</w:t>
            </w:r>
            <w:r w:rsidR="00F50DC4" w:rsidRPr="00950C34">
              <w:rPr>
                <w:rFonts w:asciiTheme="majorBidi" w:hAnsiTheme="majorBidi" w:cstheme="majorBidi"/>
                <w:b/>
              </w:rPr>
              <w:t xml:space="preserve"> </w:t>
            </w:r>
            <w:r w:rsidR="00F50DC4" w:rsidRPr="00287FCE">
              <w:rPr>
                <w:rFonts w:asciiTheme="majorBidi" w:hAnsiTheme="majorBidi" w:cstheme="majorBidi"/>
                <w:bCs/>
              </w:rPr>
              <w:t>4:</w:t>
            </w:r>
            <w:r w:rsidR="00F50DC4" w:rsidRPr="00950C34">
              <w:rPr>
                <w:rFonts w:asciiTheme="majorBidi" w:hAnsiTheme="majorBidi" w:cstheme="majorBidi"/>
              </w:rPr>
              <w:t xml:space="preserve"> Variance Decompositions and Relative Exogeneity Results</w:t>
            </w:r>
          </w:p>
        </w:tc>
        <w:tc>
          <w:tcPr>
            <w:tcW w:w="1633" w:type="dxa"/>
            <w:tcBorders>
              <w:top w:val="nil"/>
            </w:tcBorders>
            <w:vAlign w:val="center"/>
          </w:tcPr>
          <w:p w:rsidR="00F50DC4" w:rsidRPr="00950C34" w:rsidRDefault="00F50DC4" w:rsidP="00F33BC8">
            <w:pPr>
              <w:rPr>
                <w:rFonts w:asciiTheme="majorBidi" w:hAnsiTheme="majorBidi" w:cstheme="majorBidi"/>
              </w:rPr>
            </w:pPr>
          </w:p>
        </w:tc>
      </w:tr>
      <w:tr w:rsidR="003E7E0C" w:rsidRPr="00950C34" w:rsidTr="00CE4963">
        <w:trPr>
          <w:trHeight w:val="20"/>
          <w:jc w:val="center"/>
        </w:trPr>
        <w:tc>
          <w:tcPr>
            <w:tcW w:w="719" w:type="dxa"/>
            <w:tcBorders>
              <w:bottom w:val="nil"/>
            </w:tcBorders>
            <w:vAlign w:val="center"/>
          </w:tcPr>
          <w:p w:rsidR="00F50DC4" w:rsidRPr="00950C34" w:rsidRDefault="00F50DC4" w:rsidP="00F33BC8">
            <w:pPr>
              <w:rPr>
                <w:rFonts w:asciiTheme="majorBidi" w:hAnsiTheme="majorBidi" w:cstheme="majorBidi"/>
              </w:rPr>
            </w:pP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3150" w:type="dxa"/>
            <w:gridSpan w:val="2"/>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Relative Variance in: Real GDP</w:t>
            </w:r>
          </w:p>
        </w:tc>
        <w:tc>
          <w:tcPr>
            <w:tcW w:w="360" w:type="dxa"/>
            <w:tcBorders>
              <w:bottom w:val="nil"/>
            </w:tcBorders>
            <w:vAlign w:val="center"/>
          </w:tcPr>
          <w:p w:rsidR="00F50DC4" w:rsidRPr="00950C34" w:rsidRDefault="00F50DC4" w:rsidP="00CE4963">
            <w:pPr>
              <w:jc w:val="center"/>
              <w:rPr>
                <w:rFonts w:asciiTheme="majorBidi" w:hAnsiTheme="majorBidi" w:cstheme="majorBidi"/>
              </w:rPr>
            </w:pPr>
          </w:p>
        </w:tc>
        <w:tc>
          <w:tcPr>
            <w:tcW w:w="3510" w:type="dxa"/>
            <w:gridSpan w:val="2"/>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Relative Variance in: Teledencity</w:t>
            </w:r>
          </w:p>
        </w:tc>
      </w:tr>
      <w:tr w:rsidR="003E7E0C" w:rsidRPr="00950C34" w:rsidTr="00CE4963">
        <w:trPr>
          <w:trHeight w:val="20"/>
          <w:jc w:val="center"/>
        </w:trPr>
        <w:tc>
          <w:tcPr>
            <w:tcW w:w="719" w:type="dxa"/>
            <w:tcBorders>
              <w:top w:val="nil"/>
              <w:bottom w:val="single" w:sz="4" w:space="0" w:color="000000" w:themeColor="text1"/>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Period</w:t>
            </w:r>
          </w:p>
        </w:tc>
        <w:tc>
          <w:tcPr>
            <w:tcW w:w="208" w:type="dxa"/>
            <w:tcBorders>
              <w:top w:val="nil"/>
              <w:bottom w:val="nil"/>
            </w:tcBorders>
          </w:tcPr>
          <w:p w:rsidR="00F50DC4" w:rsidRPr="00950C34" w:rsidRDefault="00F50DC4" w:rsidP="00CE4963">
            <w:pPr>
              <w:jc w:val="center"/>
              <w:rPr>
                <w:rFonts w:asciiTheme="majorBidi" w:hAnsiTheme="majorBidi" w:cstheme="majorBidi"/>
              </w:rPr>
            </w:pPr>
          </w:p>
        </w:tc>
        <w:tc>
          <w:tcPr>
            <w:tcW w:w="1607" w:type="dxa"/>
            <w:tcBorders>
              <w:bottom w:val="single" w:sz="4" w:space="0" w:color="000000" w:themeColor="text1"/>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Δ</w:t>
            </w:r>
            <w:r w:rsidRPr="00950C34">
              <w:rPr>
                <w:rFonts w:asciiTheme="majorBidi" w:hAnsiTheme="majorBidi" w:cstheme="majorBidi"/>
                <w:color w:val="000000"/>
              </w:rPr>
              <w:t>Real GDP</w:t>
            </w:r>
          </w:p>
        </w:tc>
        <w:tc>
          <w:tcPr>
            <w:tcW w:w="1543" w:type="dxa"/>
            <w:tcBorders>
              <w:bottom w:val="single" w:sz="4" w:space="0" w:color="000000" w:themeColor="text1"/>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Δ</w:t>
            </w:r>
            <w:r w:rsidRPr="00950C34">
              <w:rPr>
                <w:rFonts w:asciiTheme="majorBidi" w:hAnsiTheme="majorBidi" w:cstheme="majorBidi"/>
                <w:color w:val="000000"/>
              </w:rPr>
              <w:t>Teledencity</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bottom w:val="single" w:sz="4" w:space="0" w:color="000000" w:themeColor="text1"/>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Δ</w:t>
            </w:r>
            <w:r w:rsidRPr="00950C34">
              <w:rPr>
                <w:rFonts w:asciiTheme="majorBidi" w:hAnsiTheme="majorBidi" w:cstheme="majorBidi"/>
                <w:color w:val="000000"/>
              </w:rPr>
              <w:t>Real GDP</w:t>
            </w:r>
          </w:p>
        </w:tc>
        <w:tc>
          <w:tcPr>
            <w:tcW w:w="1633" w:type="dxa"/>
            <w:tcBorders>
              <w:bottom w:val="single" w:sz="4" w:space="0" w:color="000000" w:themeColor="text1"/>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Δ</w:t>
            </w:r>
            <w:r w:rsidRPr="00950C34">
              <w:rPr>
                <w:rFonts w:asciiTheme="majorBidi" w:hAnsiTheme="majorBidi" w:cstheme="majorBidi"/>
                <w:color w:val="000000"/>
              </w:rPr>
              <w:t>Teledencity</w:t>
            </w:r>
          </w:p>
        </w:tc>
      </w:tr>
      <w:tr w:rsidR="003E7E0C" w:rsidRPr="00950C34" w:rsidTr="00CE4963">
        <w:trPr>
          <w:trHeight w:val="20"/>
          <w:jc w:val="center"/>
        </w:trPr>
        <w:tc>
          <w:tcPr>
            <w:tcW w:w="719" w:type="dxa"/>
            <w:tcBorders>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1</w:t>
            </w: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1607" w:type="dxa"/>
            <w:tcBorders>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100.000</w:t>
            </w:r>
          </w:p>
        </w:tc>
        <w:tc>
          <w:tcPr>
            <w:tcW w:w="1543" w:type="dxa"/>
            <w:tcBorders>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0.000</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0.064</w:t>
            </w:r>
            <w:r w:rsidR="003E7E0C" w:rsidRPr="00950C34">
              <w:rPr>
                <w:rFonts w:asciiTheme="majorBidi" w:hAnsiTheme="majorBidi" w:cstheme="majorBidi"/>
                <w:color w:val="000000"/>
              </w:rPr>
              <w:t>5</w:t>
            </w:r>
          </w:p>
        </w:tc>
        <w:tc>
          <w:tcPr>
            <w:tcW w:w="1633" w:type="dxa"/>
            <w:tcBorders>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99.93</w:t>
            </w:r>
            <w:r w:rsidR="003E7E0C" w:rsidRPr="00950C34">
              <w:rPr>
                <w:rFonts w:asciiTheme="majorBidi" w:hAnsiTheme="majorBidi" w:cstheme="majorBidi"/>
                <w:color w:val="000000"/>
              </w:rPr>
              <w:t>5</w:t>
            </w:r>
          </w:p>
        </w:tc>
      </w:tr>
      <w:tr w:rsidR="003E7E0C" w:rsidRPr="00950C34" w:rsidTr="00CE4963">
        <w:trPr>
          <w:trHeight w:val="20"/>
          <w:jc w:val="center"/>
        </w:trPr>
        <w:tc>
          <w:tcPr>
            <w:tcW w:w="719"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2</w:t>
            </w: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1607"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99.03</w:t>
            </w:r>
            <w:r w:rsidR="003E7E0C" w:rsidRPr="00950C34">
              <w:rPr>
                <w:rFonts w:asciiTheme="majorBidi" w:hAnsiTheme="majorBidi" w:cstheme="majorBidi"/>
                <w:color w:val="000000"/>
              </w:rPr>
              <w:t>9</w:t>
            </w:r>
          </w:p>
        </w:tc>
        <w:tc>
          <w:tcPr>
            <w:tcW w:w="154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0.961</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0.04</w:t>
            </w:r>
            <w:r w:rsidR="003E7E0C" w:rsidRPr="00950C34">
              <w:rPr>
                <w:rFonts w:asciiTheme="majorBidi" w:hAnsiTheme="majorBidi" w:cstheme="majorBidi"/>
                <w:color w:val="000000"/>
              </w:rPr>
              <w:t>2</w:t>
            </w:r>
          </w:p>
        </w:tc>
        <w:tc>
          <w:tcPr>
            <w:tcW w:w="163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99.958</w:t>
            </w:r>
          </w:p>
        </w:tc>
      </w:tr>
      <w:tr w:rsidR="003E7E0C" w:rsidRPr="00950C34" w:rsidTr="00CE4963">
        <w:trPr>
          <w:trHeight w:val="20"/>
          <w:jc w:val="center"/>
        </w:trPr>
        <w:tc>
          <w:tcPr>
            <w:tcW w:w="719"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3</w:t>
            </w: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1607" w:type="dxa"/>
            <w:tcBorders>
              <w:top w:val="nil"/>
              <w:bottom w:val="nil"/>
            </w:tcBorders>
            <w:vAlign w:val="center"/>
          </w:tcPr>
          <w:p w:rsidR="00F50DC4" w:rsidRPr="00950C34" w:rsidRDefault="00F50DC4" w:rsidP="00CE4963">
            <w:pPr>
              <w:jc w:val="center"/>
              <w:rPr>
                <w:rFonts w:asciiTheme="majorBidi" w:hAnsiTheme="majorBidi" w:cstheme="majorBidi"/>
                <w:color w:val="000000"/>
              </w:rPr>
            </w:pPr>
            <w:r w:rsidRPr="00950C34">
              <w:rPr>
                <w:rFonts w:asciiTheme="majorBidi" w:hAnsiTheme="majorBidi" w:cstheme="majorBidi"/>
                <w:color w:val="000000"/>
              </w:rPr>
              <w:t>90.507</w:t>
            </w:r>
          </w:p>
        </w:tc>
        <w:tc>
          <w:tcPr>
            <w:tcW w:w="154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9.492</w:t>
            </w:r>
            <w:r w:rsidR="003E7E0C" w:rsidRPr="00950C34">
              <w:rPr>
                <w:rFonts w:asciiTheme="majorBidi" w:hAnsiTheme="majorBidi" w:cstheme="majorBidi"/>
                <w:color w:val="000000"/>
              </w:rPr>
              <w:t>3</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0.08</w:t>
            </w:r>
            <w:r w:rsidR="003E7E0C" w:rsidRPr="00950C34">
              <w:rPr>
                <w:rFonts w:asciiTheme="majorBidi" w:hAnsiTheme="majorBidi" w:cstheme="majorBidi"/>
                <w:color w:val="000000"/>
              </w:rPr>
              <w:t>1</w:t>
            </w:r>
          </w:p>
        </w:tc>
        <w:tc>
          <w:tcPr>
            <w:tcW w:w="163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99.919</w:t>
            </w:r>
          </w:p>
        </w:tc>
      </w:tr>
      <w:tr w:rsidR="003E7E0C" w:rsidRPr="00950C34" w:rsidTr="00CE4963">
        <w:trPr>
          <w:trHeight w:val="20"/>
          <w:jc w:val="center"/>
        </w:trPr>
        <w:tc>
          <w:tcPr>
            <w:tcW w:w="719"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4</w:t>
            </w: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1607" w:type="dxa"/>
            <w:tcBorders>
              <w:top w:val="nil"/>
              <w:bottom w:val="nil"/>
            </w:tcBorders>
            <w:vAlign w:val="center"/>
          </w:tcPr>
          <w:p w:rsidR="00F50DC4" w:rsidRPr="00950C34" w:rsidRDefault="00F50DC4" w:rsidP="00CE4963">
            <w:pPr>
              <w:jc w:val="center"/>
              <w:rPr>
                <w:rFonts w:asciiTheme="majorBidi" w:hAnsiTheme="majorBidi" w:cstheme="majorBidi"/>
                <w:color w:val="000000"/>
              </w:rPr>
            </w:pPr>
            <w:r w:rsidRPr="00950C34">
              <w:rPr>
                <w:rFonts w:asciiTheme="majorBidi" w:hAnsiTheme="majorBidi" w:cstheme="majorBidi"/>
                <w:color w:val="000000"/>
              </w:rPr>
              <w:t>69.508</w:t>
            </w:r>
          </w:p>
        </w:tc>
        <w:tc>
          <w:tcPr>
            <w:tcW w:w="154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30.49</w:t>
            </w:r>
            <w:r w:rsidR="003E7E0C" w:rsidRPr="00950C34">
              <w:rPr>
                <w:rFonts w:asciiTheme="majorBidi" w:hAnsiTheme="majorBidi" w:cstheme="majorBidi"/>
                <w:color w:val="000000"/>
              </w:rPr>
              <w:t>2</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0.19</w:t>
            </w:r>
            <w:r w:rsidR="003E7E0C" w:rsidRPr="00950C34">
              <w:rPr>
                <w:rFonts w:asciiTheme="majorBidi" w:hAnsiTheme="majorBidi" w:cstheme="majorBidi"/>
                <w:color w:val="000000"/>
              </w:rPr>
              <w:t>3</w:t>
            </w:r>
          </w:p>
        </w:tc>
        <w:tc>
          <w:tcPr>
            <w:tcW w:w="163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99.807</w:t>
            </w:r>
          </w:p>
        </w:tc>
      </w:tr>
      <w:tr w:rsidR="003E7E0C" w:rsidRPr="00950C34" w:rsidTr="00CE4963">
        <w:trPr>
          <w:trHeight w:val="20"/>
          <w:jc w:val="center"/>
        </w:trPr>
        <w:tc>
          <w:tcPr>
            <w:tcW w:w="719"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5</w:t>
            </w: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1607" w:type="dxa"/>
            <w:tcBorders>
              <w:top w:val="nil"/>
              <w:bottom w:val="nil"/>
            </w:tcBorders>
            <w:vAlign w:val="center"/>
          </w:tcPr>
          <w:p w:rsidR="00F50DC4" w:rsidRPr="00950C34" w:rsidRDefault="00F50DC4" w:rsidP="00CE4963">
            <w:pPr>
              <w:jc w:val="center"/>
              <w:rPr>
                <w:rFonts w:asciiTheme="majorBidi" w:hAnsiTheme="majorBidi" w:cstheme="majorBidi"/>
                <w:color w:val="000000"/>
              </w:rPr>
            </w:pPr>
            <w:r w:rsidRPr="00950C34">
              <w:rPr>
                <w:rFonts w:asciiTheme="majorBidi" w:hAnsiTheme="majorBidi" w:cstheme="majorBidi"/>
                <w:color w:val="000000"/>
              </w:rPr>
              <w:t>49.89</w:t>
            </w:r>
            <w:r w:rsidR="003E7E0C" w:rsidRPr="00950C34">
              <w:rPr>
                <w:rFonts w:asciiTheme="majorBidi" w:hAnsiTheme="majorBidi" w:cstheme="majorBidi"/>
                <w:color w:val="000000"/>
              </w:rPr>
              <w:t>9</w:t>
            </w:r>
          </w:p>
        </w:tc>
        <w:tc>
          <w:tcPr>
            <w:tcW w:w="154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50.101</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0.356</w:t>
            </w:r>
          </w:p>
        </w:tc>
        <w:tc>
          <w:tcPr>
            <w:tcW w:w="163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99.64</w:t>
            </w:r>
            <w:r w:rsidR="003E7E0C" w:rsidRPr="00950C34">
              <w:rPr>
                <w:rFonts w:asciiTheme="majorBidi" w:hAnsiTheme="majorBidi" w:cstheme="majorBidi"/>
                <w:color w:val="000000"/>
              </w:rPr>
              <w:t>4</w:t>
            </w:r>
          </w:p>
        </w:tc>
      </w:tr>
      <w:tr w:rsidR="003E7E0C" w:rsidRPr="00950C34" w:rsidTr="00CE4963">
        <w:trPr>
          <w:trHeight w:val="20"/>
          <w:jc w:val="center"/>
        </w:trPr>
        <w:tc>
          <w:tcPr>
            <w:tcW w:w="719"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6</w:t>
            </w: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1607" w:type="dxa"/>
            <w:tcBorders>
              <w:top w:val="nil"/>
              <w:bottom w:val="nil"/>
            </w:tcBorders>
            <w:vAlign w:val="center"/>
          </w:tcPr>
          <w:p w:rsidR="00F50DC4" w:rsidRPr="00950C34" w:rsidRDefault="00F50DC4" w:rsidP="00CE4963">
            <w:pPr>
              <w:jc w:val="center"/>
              <w:rPr>
                <w:rFonts w:asciiTheme="majorBidi" w:hAnsiTheme="majorBidi" w:cstheme="majorBidi"/>
                <w:color w:val="000000"/>
              </w:rPr>
            </w:pPr>
            <w:r w:rsidRPr="00950C34">
              <w:rPr>
                <w:rFonts w:asciiTheme="majorBidi" w:hAnsiTheme="majorBidi" w:cstheme="majorBidi"/>
                <w:color w:val="000000"/>
              </w:rPr>
              <w:t>37.40</w:t>
            </w:r>
            <w:r w:rsidR="003E7E0C" w:rsidRPr="00950C34">
              <w:rPr>
                <w:rFonts w:asciiTheme="majorBidi" w:hAnsiTheme="majorBidi" w:cstheme="majorBidi"/>
                <w:color w:val="000000"/>
              </w:rPr>
              <w:t>4</w:t>
            </w:r>
          </w:p>
        </w:tc>
        <w:tc>
          <w:tcPr>
            <w:tcW w:w="154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62.596</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0.51</w:t>
            </w:r>
            <w:r w:rsidR="003E7E0C" w:rsidRPr="00950C34">
              <w:rPr>
                <w:rFonts w:asciiTheme="majorBidi" w:hAnsiTheme="majorBidi" w:cstheme="majorBidi"/>
                <w:color w:val="000000"/>
              </w:rPr>
              <w:t>8</w:t>
            </w:r>
          </w:p>
        </w:tc>
        <w:tc>
          <w:tcPr>
            <w:tcW w:w="163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99.482</w:t>
            </w:r>
          </w:p>
        </w:tc>
      </w:tr>
      <w:tr w:rsidR="003E7E0C" w:rsidRPr="00950C34" w:rsidTr="00CE4963">
        <w:trPr>
          <w:trHeight w:val="20"/>
          <w:jc w:val="center"/>
        </w:trPr>
        <w:tc>
          <w:tcPr>
            <w:tcW w:w="719"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7</w:t>
            </w: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1607" w:type="dxa"/>
            <w:tcBorders>
              <w:top w:val="nil"/>
              <w:bottom w:val="nil"/>
            </w:tcBorders>
            <w:vAlign w:val="center"/>
          </w:tcPr>
          <w:p w:rsidR="00F50DC4" w:rsidRPr="00950C34" w:rsidRDefault="00F50DC4" w:rsidP="00CE4963">
            <w:pPr>
              <w:jc w:val="center"/>
              <w:rPr>
                <w:rFonts w:asciiTheme="majorBidi" w:hAnsiTheme="majorBidi" w:cstheme="majorBidi"/>
                <w:color w:val="000000"/>
              </w:rPr>
            </w:pPr>
            <w:r w:rsidRPr="00950C34">
              <w:rPr>
                <w:rFonts w:asciiTheme="majorBidi" w:hAnsiTheme="majorBidi" w:cstheme="majorBidi"/>
                <w:color w:val="000000"/>
              </w:rPr>
              <w:t>29.21</w:t>
            </w:r>
            <w:r w:rsidR="003E7E0C" w:rsidRPr="00950C34">
              <w:rPr>
                <w:rFonts w:asciiTheme="majorBidi" w:hAnsiTheme="majorBidi" w:cstheme="majorBidi"/>
                <w:color w:val="000000"/>
              </w:rPr>
              <w:t>3</w:t>
            </w:r>
          </w:p>
        </w:tc>
        <w:tc>
          <w:tcPr>
            <w:tcW w:w="154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70.787</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0.6</w:t>
            </w:r>
            <w:r w:rsidR="003E7E0C" w:rsidRPr="00950C34">
              <w:rPr>
                <w:rFonts w:asciiTheme="majorBidi" w:hAnsiTheme="majorBidi" w:cstheme="majorBidi"/>
                <w:color w:val="000000"/>
              </w:rPr>
              <w:t>40</w:t>
            </w:r>
          </w:p>
        </w:tc>
        <w:tc>
          <w:tcPr>
            <w:tcW w:w="163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99.360</w:t>
            </w:r>
          </w:p>
        </w:tc>
      </w:tr>
      <w:tr w:rsidR="003E7E0C" w:rsidRPr="00950C34" w:rsidTr="00CE4963">
        <w:trPr>
          <w:trHeight w:val="20"/>
          <w:jc w:val="center"/>
        </w:trPr>
        <w:tc>
          <w:tcPr>
            <w:tcW w:w="719"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8</w:t>
            </w: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1607" w:type="dxa"/>
            <w:tcBorders>
              <w:top w:val="nil"/>
              <w:bottom w:val="nil"/>
            </w:tcBorders>
            <w:vAlign w:val="center"/>
          </w:tcPr>
          <w:p w:rsidR="00F50DC4" w:rsidRPr="00950C34" w:rsidRDefault="00F50DC4" w:rsidP="00CE4963">
            <w:pPr>
              <w:jc w:val="center"/>
              <w:rPr>
                <w:rFonts w:asciiTheme="majorBidi" w:hAnsiTheme="majorBidi" w:cstheme="majorBidi"/>
                <w:color w:val="000000"/>
              </w:rPr>
            </w:pPr>
            <w:r w:rsidRPr="00950C34">
              <w:rPr>
                <w:rFonts w:asciiTheme="majorBidi" w:hAnsiTheme="majorBidi" w:cstheme="majorBidi"/>
                <w:color w:val="000000"/>
              </w:rPr>
              <w:t>23.69</w:t>
            </w:r>
            <w:r w:rsidR="003E7E0C" w:rsidRPr="00950C34">
              <w:rPr>
                <w:rFonts w:asciiTheme="majorBidi" w:hAnsiTheme="majorBidi" w:cstheme="majorBidi"/>
                <w:color w:val="000000"/>
              </w:rPr>
              <w:t>8</w:t>
            </w:r>
          </w:p>
        </w:tc>
        <w:tc>
          <w:tcPr>
            <w:tcW w:w="154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76.302</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0.715</w:t>
            </w:r>
          </w:p>
        </w:tc>
        <w:tc>
          <w:tcPr>
            <w:tcW w:w="163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99.28</w:t>
            </w:r>
            <w:r w:rsidR="003E7E0C" w:rsidRPr="00950C34">
              <w:rPr>
                <w:rFonts w:asciiTheme="majorBidi" w:hAnsiTheme="majorBidi" w:cstheme="majorBidi"/>
                <w:color w:val="000000"/>
              </w:rPr>
              <w:t>5</w:t>
            </w:r>
          </w:p>
        </w:tc>
      </w:tr>
      <w:tr w:rsidR="003E7E0C" w:rsidRPr="00950C34" w:rsidTr="00CE4963">
        <w:trPr>
          <w:trHeight w:val="20"/>
          <w:jc w:val="center"/>
        </w:trPr>
        <w:tc>
          <w:tcPr>
            <w:tcW w:w="719"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9</w:t>
            </w:r>
          </w:p>
        </w:tc>
        <w:tc>
          <w:tcPr>
            <w:tcW w:w="208" w:type="dxa"/>
            <w:tcBorders>
              <w:top w:val="nil"/>
              <w:bottom w:val="nil"/>
            </w:tcBorders>
          </w:tcPr>
          <w:p w:rsidR="00F50DC4" w:rsidRPr="00950C34" w:rsidRDefault="00F50DC4" w:rsidP="00CE4963">
            <w:pPr>
              <w:jc w:val="center"/>
              <w:rPr>
                <w:rFonts w:asciiTheme="majorBidi" w:hAnsiTheme="majorBidi" w:cstheme="majorBidi"/>
                <w:color w:val="000000"/>
              </w:rPr>
            </w:pPr>
          </w:p>
        </w:tc>
        <w:tc>
          <w:tcPr>
            <w:tcW w:w="1607" w:type="dxa"/>
            <w:tcBorders>
              <w:top w:val="nil"/>
              <w:bottom w:val="nil"/>
            </w:tcBorders>
            <w:vAlign w:val="center"/>
          </w:tcPr>
          <w:p w:rsidR="00F50DC4" w:rsidRPr="00950C34" w:rsidRDefault="00F50DC4" w:rsidP="00CE4963">
            <w:pPr>
              <w:jc w:val="center"/>
              <w:rPr>
                <w:rFonts w:asciiTheme="majorBidi" w:hAnsiTheme="majorBidi" w:cstheme="majorBidi"/>
                <w:color w:val="000000"/>
              </w:rPr>
            </w:pPr>
            <w:r w:rsidRPr="00950C34">
              <w:rPr>
                <w:rFonts w:asciiTheme="majorBidi" w:hAnsiTheme="majorBidi" w:cstheme="majorBidi"/>
                <w:color w:val="000000"/>
              </w:rPr>
              <w:t>19.89</w:t>
            </w:r>
            <w:r w:rsidR="003E7E0C" w:rsidRPr="00950C34">
              <w:rPr>
                <w:rFonts w:asciiTheme="majorBidi" w:hAnsiTheme="majorBidi" w:cstheme="majorBidi"/>
                <w:color w:val="000000"/>
              </w:rPr>
              <w:t>8</w:t>
            </w:r>
          </w:p>
        </w:tc>
        <w:tc>
          <w:tcPr>
            <w:tcW w:w="154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80.102</w:t>
            </w:r>
          </w:p>
        </w:tc>
        <w:tc>
          <w:tcPr>
            <w:tcW w:w="360" w:type="dxa"/>
            <w:tcBorders>
              <w:top w:val="nil"/>
              <w:bottom w:val="nil"/>
            </w:tcBorders>
            <w:vAlign w:val="center"/>
          </w:tcPr>
          <w:p w:rsidR="00F50DC4" w:rsidRPr="00950C34" w:rsidRDefault="00F50DC4" w:rsidP="00CE4963">
            <w:pPr>
              <w:jc w:val="center"/>
              <w:rPr>
                <w:rFonts w:asciiTheme="majorBidi" w:hAnsiTheme="majorBidi" w:cstheme="majorBidi"/>
              </w:rPr>
            </w:pPr>
          </w:p>
        </w:tc>
        <w:tc>
          <w:tcPr>
            <w:tcW w:w="1877"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0.75</w:t>
            </w:r>
            <w:r w:rsidR="003E7E0C" w:rsidRPr="00950C34">
              <w:rPr>
                <w:rFonts w:asciiTheme="majorBidi" w:hAnsiTheme="majorBidi" w:cstheme="majorBidi"/>
                <w:color w:val="000000"/>
              </w:rPr>
              <w:t>7</w:t>
            </w:r>
          </w:p>
        </w:tc>
        <w:tc>
          <w:tcPr>
            <w:tcW w:w="1633" w:type="dxa"/>
            <w:tcBorders>
              <w:top w:val="nil"/>
              <w:bottom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99.243</w:t>
            </w:r>
          </w:p>
        </w:tc>
      </w:tr>
      <w:tr w:rsidR="003E7E0C" w:rsidRPr="00950C34" w:rsidTr="00CE4963">
        <w:trPr>
          <w:trHeight w:val="20"/>
          <w:jc w:val="center"/>
        </w:trPr>
        <w:tc>
          <w:tcPr>
            <w:tcW w:w="719" w:type="dxa"/>
            <w:tcBorders>
              <w:top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rPr>
              <w:t>10</w:t>
            </w:r>
          </w:p>
        </w:tc>
        <w:tc>
          <w:tcPr>
            <w:tcW w:w="208" w:type="dxa"/>
            <w:tcBorders>
              <w:top w:val="nil"/>
            </w:tcBorders>
          </w:tcPr>
          <w:p w:rsidR="00F50DC4" w:rsidRPr="00950C34" w:rsidRDefault="00F50DC4" w:rsidP="00CE4963">
            <w:pPr>
              <w:jc w:val="center"/>
              <w:rPr>
                <w:rFonts w:asciiTheme="majorBidi" w:hAnsiTheme="majorBidi" w:cstheme="majorBidi"/>
                <w:color w:val="000000"/>
              </w:rPr>
            </w:pPr>
          </w:p>
        </w:tc>
        <w:tc>
          <w:tcPr>
            <w:tcW w:w="1607" w:type="dxa"/>
            <w:tcBorders>
              <w:top w:val="nil"/>
            </w:tcBorders>
            <w:vAlign w:val="center"/>
          </w:tcPr>
          <w:p w:rsidR="00F50DC4" w:rsidRPr="00950C34" w:rsidRDefault="00F50DC4" w:rsidP="00CE4963">
            <w:pPr>
              <w:jc w:val="center"/>
              <w:rPr>
                <w:rFonts w:asciiTheme="majorBidi" w:hAnsiTheme="majorBidi" w:cstheme="majorBidi"/>
                <w:color w:val="000000"/>
              </w:rPr>
            </w:pPr>
            <w:r w:rsidRPr="00950C34">
              <w:rPr>
                <w:rFonts w:asciiTheme="majorBidi" w:hAnsiTheme="majorBidi" w:cstheme="majorBidi"/>
                <w:color w:val="000000"/>
              </w:rPr>
              <w:t>17.092</w:t>
            </w:r>
          </w:p>
        </w:tc>
        <w:tc>
          <w:tcPr>
            <w:tcW w:w="1543" w:type="dxa"/>
            <w:tcBorders>
              <w:top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82.907</w:t>
            </w:r>
          </w:p>
        </w:tc>
        <w:tc>
          <w:tcPr>
            <w:tcW w:w="360" w:type="dxa"/>
            <w:tcBorders>
              <w:top w:val="nil"/>
            </w:tcBorders>
            <w:vAlign w:val="center"/>
          </w:tcPr>
          <w:p w:rsidR="00F50DC4" w:rsidRPr="00950C34" w:rsidRDefault="00F50DC4" w:rsidP="00CE4963">
            <w:pPr>
              <w:jc w:val="center"/>
              <w:rPr>
                <w:rFonts w:asciiTheme="majorBidi" w:hAnsiTheme="majorBidi" w:cstheme="majorBidi"/>
              </w:rPr>
            </w:pPr>
          </w:p>
        </w:tc>
        <w:tc>
          <w:tcPr>
            <w:tcW w:w="1877" w:type="dxa"/>
            <w:tcBorders>
              <w:top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0.78</w:t>
            </w:r>
            <w:r w:rsidR="003E7E0C" w:rsidRPr="00950C34">
              <w:rPr>
                <w:rFonts w:asciiTheme="majorBidi" w:hAnsiTheme="majorBidi" w:cstheme="majorBidi"/>
                <w:color w:val="000000"/>
              </w:rPr>
              <w:t>1</w:t>
            </w:r>
          </w:p>
        </w:tc>
        <w:tc>
          <w:tcPr>
            <w:tcW w:w="1633" w:type="dxa"/>
            <w:tcBorders>
              <w:top w:val="nil"/>
            </w:tcBorders>
            <w:vAlign w:val="center"/>
          </w:tcPr>
          <w:p w:rsidR="00F50DC4" w:rsidRPr="00950C34" w:rsidRDefault="00F50DC4" w:rsidP="00CE4963">
            <w:pPr>
              <w:jc w:val="center"/>
              <w:rPr>
                <w:rFonts w:asciiTheme="majorBidi" w:hAnsiTheme="majorBidi" w:cstheme="majorBidi"/>
              </w:rPr>
            </w:pPr>
            <w:r w:rsidRPr="00950C34">
              <w:rPr>
                <w:rFonts w:asciiTheme="majorBidi" w:hAnsiTheme="majorBidi" w:cstheme="majorBidi"/>
                <w:color w:val="000000"/>
              </w:rPr>
              <w:t>99.219</w:t>
            </w:r>
          </w:p>
        </w:tc>
      </w:tr>
    </w:tbl>
    <w:p w:rsidR="00140324" w:rsidRPr="00287FCE" w:rsidRDefault="00F50DC4" w:rsidP="00F33BC8">
      <w:pPr>
        <w:tabs>
          <w:tab w:val="left" w:pos="1382"/>
          <w:tab w:val="left" w:pos="7857"/>
        </w:tabs>
        <w:spacing w:after="0" w:line="240" w:lineRule="auto"/>
        <w:rPr>
          <w:rFonts w:asciiTheme="majorBidi" w:hAnsiTheme="majorBidi" w:cstheme="majorBidi"/>
          <w:sz w:val="20"/>
          <w:szCs w:val="20"/>
        </w:rPr>
      </w:pPr>
      <w:r w:rsidRPr="00287FCE">
        <w:rPr>
          <w:rFonts w:asciiTheme="majorBidi" w:hAnsiTheme="majorBidi" w:cstheme="majorBidi"/>
          <w:sz w:val="20"/>
          <w:szCs w:val="20"/>
        </w:rPr>
        <w:t>Two variables are in first differences (denoted by Δ) of natural logarithms. Figures in the first column (priod) refer to number of year. All other figures are Percentage of Forecast Variance Explained by Innovations in both variables.</w:t>
      </w:r>
    </w:p>
    <w:p w:rsidR="00287FCE" w:rsidRDefault="00287FCE" w:rsidP="00F33BC8">
      <w:pPr>
        <w:tabs>
          <w:tab w:val="left" w:pos="1382"/>
          <w:tab w:val="left" w:pos="7857"/>
        </w:tabs>
        <w:spacing w:after="0" w:line="240" w:lineRule="auto"/>
        <w:rPr>
          <w:rFonts w:asciiTheme="majorBidi" w:hAnsiTheme="majorBidi" w:cstheme="majorBidi"/>
        </w:rPr>
      </w:pPr>
    </w:p>
    <w:p w:rsidR="00D849FB" w:rsidRDefault="00D849FB" w:rsidP="00D849FB">
      <w:pPr>
        <w:tabs>
          <w:tab w:val="left" w:pos="1382"/>
          <w:tab w:val="left" w:pos="7857"/>
        </w:tabs>
        <w:spacing w:after="0" w:line="240" w:lineRule="auto"/>
        <w:rPr>
          <w:rFonts w:asciiTheme="majorBidi" w:hAnsiTheme="majorBidi" w:cstheme="majorBidi"/>
        </w:rPr>
      </w:pPr>
      <w:r w:rsidRPr="00950C34">
        <w:rPr>
          <w:rFonts w:asciiTheme="majorBidi" w:hAnsiTheme="majorBidi" w:cstheme="majorBidi"/>
        </w:rPr>
        <w:t>In addition, Impulse Response Functions (IRFs) analysis essentially maps out the responsiveness of Real GDP to shocks to Teledensity which are presented in Figures 1. The result suggests that, one standard deviation shock to Teledencity, Real GDP response positively and has persistent effect on it. Therefore, the IRFs appear to be broadly consistent with the earlier VDC results that ICT development more often leads (at the long run) economic growth in condition of Iran economy.</w:t>
      </w: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BF65ED" w:rsidP="00F33BC8">
      <w:pPr>
        <w:tabs>
          <w:tab w:val="left" w:pos="1382"/>
          <w:tab w:val="left" w:pos="7857"/>
        </w:tabs>
        <w:spacing w:after="0" w:line="240" w:lineRule="auto"/>
        <w:rPr>
          <w:rFonts w:asciiTheme="majorBidi" w:hAnsiTheme="majorBidi" w:cstheme="majorBidi"/>
        </w:rPr>
      </w:pPr>
      <w:r>
        <w:rPr>
          <w:rFonts w:asciiTheme="majorBidi" w:hAnsiTheme="majorBidi" w:cstheme="majorBidi"/>
          <w:noProof/>
        </w:rPr>
        <w:pict>
          <v:group id="_x0000_s4368" editas="canvas" style="position:absolute;margin-left:78pt;margin-top:-6.85pt;width:317.85pt;height:204.5pt;z-index:251658240;mso-position-horizontal-relative:char;mso-position-vertical-relative:line" coordorigin="-943,198" coordsize="6357,40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69" type="#_x0000_t75" style="position:absolute;left:-943;top:198;width:6357;height:4090" o:preferrelative="f">
              <v:fill o:detectmouseclick="t"/>
              <v:path o:extrusionok="t" o:connecttype="none"/>
              <o:lock v:ext="edit" text="t"/>
            </v:shape>
            <v:group id="_x0000_s4370" style="position:absolute;left:-4;top:526;width:5392;height:3762" coordorigin="-2,526" coordsize="5392,3762">
              <v:rect id="_x0000_s4371" style="position:absolute;left:340;top:620;width:5050;height:3026" stroked="f"/>
              <v:rect id="_x0000_s4372" style="position:absolute;left:339;top:618;width:5051;height:3028" filled="f" strokecolor="#010101" strokeweight="19e-5mm">
                <v:stroke joinstyle="round" endcap="square"/>
              </v:rect>
              <v:rect id="_x0000_s4373" style="position:absolute;left:-2;top:3547;width:242;height:570" filled="f" stroked="f">
                <v:textbox style="mso-next-textbox:#_x0000_s4373;mso-fit-shape-to-text:t" inset="0,0,0,0">
                  <w:txbxContent>
                    <w:p w:rsidR="0076245B" w:rsidRDefault="0076245B" w:rsidP="0076245B">
                      <w:r>
                        <w:rPr>
                          <w:rFonts w:ascii="Arial" w:hAnsi="Arial" w:cs="Arial"/>
                          <w:color w:val="000000"/>
                          <w:sz w:val="14"/>
                          <w:szCs w:val="14"/>
                        </w:rPr>
                        <w:t>-.02</w:t>
                      </w:r>
                    </w:p>
                  </w:txbxContent>
                </v:textbox>
              </v:rect>
              <v:line id="_x0000_s4374" style="position:absolute;flip:x" from="278,3644" to="333,3645" strokecolor="#010101" strokeweight="17e-5mm"/>
              <v:rect id="_x0000_s4375" style="position:absolute;left:-2;top:3211;width:242;height:570" filled="f" stroked="f">
                <v:textbox style="mso-next-textbox:#_x0000_s4375;mso-fit-shape-to-text:t" inset="0,0,0,0">
                  <w:txbxContent>
                    <w:p w:rsidR="0076245B" w:rsidRDefault="0076245B" w:rsidP="0076245B">
                      <w:r>
                        <w:rPr>
                          <w:rFonts w:ascii="Arial" w:hAnsi="Arial" w:cs="Arial"/>
                          <w:color w:val="000000"/>
                          <w:sz w:val="14"/>
                          <w:szCs w:val="14"/>
                        </w:rPr>
                        <w:t>-.01</w:t>
                      </w:r>
                    </w:p>
                  </w:txbxContent>
                </v:textbox>
              </v:rect>
              <v:line id="_x0000_s4376" style="position:absolute;flip:x" from="278,3308" to="333,3309" strokecolor="#010101" strokeweight="17e-5mm"/>
              <v:rect id="_x0000_s4377" style="position:absolute;left:42;top:2876;width:195;height:570" filled="f" stroked="f">
                <v:textbox style="mso-next-textbox:#_x0000_s4377;mso-fit-shape-to-text:t" inset="0,0,0,0">
                  <w:txbxContent>
                    <w:p w:rsidR="0076245B" w:rsidRDefault="0076245B" w:rsidP="0076245B">
                      <w:r>
                        <w:rPr>
                          <w:rFonts w:ascii="Arial" w:hAnsi="Arial" w:cs="Arial"/>
                          <w:color w:val="000000"/>
                          <w:sz w:val="14"/>
                          <w:szCs w:val="14"/>
                        </w:rPr>
                        <w:t>.00</w:t>
                      </w:r>
                    </w:p>
                  </w:txbxContent>
                </v:textbox>
              </v:rect>
              <v:line id="_x0000_s4378" style="position:absolute;flip:x" from="278,2972" to="333,2973" strokecolor="#010101" strokeweight="17e-5mm"/>
              <v:rect id="_x0000_s4379" style="position:absolute;left:42;top:2540;width:195;height:570" filled="f" stroked="f">
                <v:textbox style="mso-next-textbox:#_x0000_s4379;mso-fit-shape-to-text:t" inset="0,0,0,0">
                  <w:txbxContent>
                    <w:p w:rsidR="0076245B" w:rsidRDefault="0076245B" w:rsidP="0076245B">
                      <w:r>
                        <w:rPr>
                          <w:rFonts w:ascii="Arial" w:hAnsi="Arial" w:cs="Arial"/>
                          <w:color w:val="000000"/>
                          <w:sz w:val="14"/>
                          <w:szCs w:val="14"/>
                        </w:rPr>
                        <w:t>.01</w:t>
                      </w:r>
                    </w:p>
                  </w:txbxContent>
                </v:textbox>
              </v:rect>
              <v:line id="_x0000_s4380" style="position:absolute;flip:x" from="278,2637" to="333,2638" strokecolor="#010101" strokeweight="17e-5mm"/>
              <v:rect id="_x0000_s4381" style="position:absolute;left:42;top:2204;width:195;height:570" filled="f" stroked="f">
                <v:textbox style="mso-next-textbox:#_x0000_s4381;mso-fit-shape-to-text:t" inset="0,0,0,0">
                  <w:txbxContent>
                    <w:p w:rsidR="0076245B" w:rsidRDefault="0076245B" w:rsidP="0076245B">
                      <w:r>
                        <w:rPr>
                          <w:rFonts w:ascii="Arial" w:hAnsi="Arial" w:cs="Arial"/>
                          <w:color w:val="000000"/>
                          <w:sz w:val="14"/>
                          <w:szCs w:val="14"/>
                        </w:rPr>
                        <w:t>.02</w:t>
                      </w:r>
                    </w:p>
                  </w:txbxContent>
                </v:textbox>
              </v:rect>
              <v:line id="_x0000_s4382" style="position:absolute;flip:x" from="278,2301" to="333,2302" strokecolor="#010101" strokeweight="17e-5mm"/>
              <v:rect id="_x0000_s4383" style="position:absolute;left:42;top:1869;width:195;height:570" filled="f" stroked="f">
                <v:textbox style="mso-next-textbox:#_x0000_s4383;mso-fit-shape-to-text:t" inset="0,0,0,0">
                  <w:txbxContent>
                    <w:p w:rsidR="0076245B" w:rsidRDefault="0076245B" w:rsidP="0076245B">
                      <w:r>
                        <w:rPr>
                          <w:rFonts w:ascii="Arial" w:hAnsi="Arial" w:cs="Arial"/>
                          <w:color w:val="000000"/>
                          <w:sz w:val="14"/>
                          <w:szCs w:val="14"/>
                        </w:rPr>
                        <w:t>.03</w:t>
                      </w:r>
                    </w:p>
                  </w:txbxContent>
                </v:textbox>
              </v:rect>
              <v:line id="_x0000_s4384" style="position:absolute;flip:x" from="278,1965" to="333,1966" strokecolor="#010101" strokeweight="17e-5mm"/>
              <v:rect id="_x0000_s4385" style="position:absolute;left:42;top:1533;width:195;height:570" filled="f" stroked="f">
                <v:textbox style="mso-next-textbox:#_x0000_s4385;mso-fit-shape-to-text:t" inset="0,0,0,0">
                  <w:txbxContent>
                    <w:p w:rsidR="0076245B" w:rsidRDefault="0076245B" w:rsidP="0076245B">
                      <w:r>
                        <w:rPr>
                          <w:rFonts w:ascii="Arial" w:hAnsi="Arial" w:cs="Arial"/>
                          <w:color w:val="000000"/>
                          <w:sz w:val="14"/>
                          <w:szCs w:val="14"/>
                        </w:rPr>
                        <w:t>.04</w:t>
                      </w:r>
                    </w:p>
                  </w:txbxContent>
                </v:textbox>
              </v:rect>
              <v:line id="_x0000_s4386" style="position:absolute;flip:x" from="278,1630" to="333,1631" strokecolor="#010101" strokeweight="17e-5mm"/>
              <v:rect id="_x0000_s4387" style="position:absolute;left:42;top:1197;width:195;height:570" filled="f" stroked="f">
                <v:textbox style="mso-next-textbox:#_x0000_s4387;mso-fit-shape-to-text:t" inset="0,0,0,0">
                  <w:txbxContent>
                    <w:p w:rsidR="0076245B" w:rsidRDefault="0076245B" w:rsidP="0076245B">
                      <w:r>
                        <w:rPr>
                          <w:rFonts w:ascii="Arial" w:hAnsi="Arial" w:cs="Arial"/>
                          <w:color w:val="000000"/>
                          <w:sz w:val="14"/>
                          <w:szCs w:val="14"/>
                        </w:rPr>
                        <w:t>.05</w:t>
                      </w:r>
                    </w:p>
                  </w:txbxContent>
                </v:textbox>
              </v:rect>
              <v:line id="_x0000_s4388" style="position:absolute;flip:x" from="278,1294" to="333,1295" strokecolor="#010101" strokeweight="17e-5mm"/>
              <v:rect id="_x0000_s4389" style="position:absolute;left:42;top:862;width:195;height:570" filled="f" stroked="f">
                <v:textbox style="mso-next-textbox:#_x0000_s4389;mso-fit-shape-to-text:t" inset="0,0,0,0">
                  <w:txbxContent>
                    <w:p w:rsidR="0076245B" w:rsidRDefault="0076245B" w:rsidP="0076245B">
                      <w:r>
                        <w:rPr>
                          <w:rFonts w:ascii="Arial" w:hAnsi="Arial" w:cs="Arial"/>
                          <w:color w:val="000000"/>
                          <w:sz w:val="14"/>
                          <w:szCs w:val="14"/>
                        </w:rPr>
                        <w:t>.06</w:t>
                      </w:r>
                    </w:p>
                  </w:txbxContent>
                </v:textbox>
              </v:rect>
              <v:line id="_x0000_s4390" style="position:absolute;flip:x" from="278,958" to="333,959" strokecolor="#010101" strokeweight="17e-5mm"/>
              <v:rect id="_x0000_s4391" style="position:absolute;left:42;top:526;width:195;height:570" filled="f" stroked="f">
                <v:textbox style="mso-next-textbox:#_x0000_s4391;mso-fit-shape-to-text:t" inset="0,0,0,0">
                  <w:txbxContent>
                    <w:p w:rsidR="0076245B" w:rsidRDefault="0076245B" w:rsidP="0076245B">
                      <w:r>
                        <w:rPr>
                          <w:rFonts w:ascii="Arial" w:hAnsi="Arial" w:cs="Arial"/>
                          <w:color w:val="000000"/>
                          <w:sz w:val="14"/>
                          <w:szCs w:val="14"/>
                        </w:rPr>
                        <w:t>.07</w:t>
                      </w:r>
                    </w:p>
                  </w:txbxContent>
                </v:textbox>
              </v:rect>
              <v:line id="_x0000_s4392" style="position:absolute;flip:x" from="278,623" to="333,624" strokecolor="#010101" strokeweight="17e-5mm"/>
              <v:line id="_x0000_s4393" style="position:absolute" from="340,3652" to="341,3707" strokecolor="#010101" strokeweight="17e-5mm"/>
              <v:line id="_x0000_s4394" style="position:absolute" from="592,3652" to="593,3707" strokecolor="#010101" strokeweight="17e-5mm"/>
              <v:line id="_x0000_s4395" style="position:absolute" from="845,3652" to="846,3707" strokecolor="#010101" strokeweight="17e-5mm"/>
              <v:line id="_x0000_s4396" style="position:absolute" from="1097,3652" to="1098,3707" strokecolor="#010101" strokeweight="17e-5mm"/>
              <v:line id="_x0000_s4397" style="position:absolute" from="1350,3652" to="1351,3707" strokecolor="#010101" strokeweight="17e-5mm"/>
              <v:line id="_x0000_s4398" style="position:absolute" from="1602,3652" to="1603,3707" strokecolor="#010101" strokeweight="17e-5mm"/>
              <v:line id="_x0000_s4399" style="position:absolute" from="1855,3652" to="1856,3707" strokecolor="#010101" strokeweight="17e-5mm"/>
              <v:line id="_x0000_s4400" style="position:absolute" from="2107,3652" to="2108,3707" strokecolor="#010101" strokeweight="17e-5mm"/>
              <v:line id="_x0000_s4401" style="position:absolute" from="2359,3652" to="2360,3707" strokecolor="#010101" strokeweight="17e-5mm"/>
              <v:line id="_x0000_s4402" style="position:absolute" from="2612,3652" to="2613,3707" strokecolor="#010101" strokeweight="17e-5mm"/>
              <v:line id="_x0000_s4403" style="position:absolute" from="2864,3652" to="2865,3707" strokecolor="#010101" strokeweight="17e-5mm"/>
              <v:line id="_x0000_s4404" style="position:absolute" from="3117,3652" to="3118,3707" strokecolor="#010101" strokeweight="17e-5mm"/>
              <v:line id="_x0000_s4405" style="position:absolute" from="3369,3652" to="3370,3707" strokecolor="#010101" strokeweight="17e-5mm"/>
              <v:line id="_x0000_s4406" style="position:absolute" from="3621,3652" to="3622,3707" strokecolor="#010101" strokeweight="17e-5mm"/>
              <v:line id="_x0000_s4407" style="position:absolute" from="3874,3652" to="3875,3707" strokecolor="#010101" strokeweight="17e-5mm"/>
              <v:line id="_x0000_s4408" style="position:absolute" from="4126,3652" to="4127,3707" strokecolor="#010101" strokeweight="17e-5mm"/>
              <v:line id="_x0000_s4409" style="position:absolute" from="4379,3652" to="4380,3707" strokecolor="#010101" strokeweight="17e-5mm"/>
              <v:line id="_x0000_s4410" style="position:absolute" from="4631,3652" to="4632,3707" strokecolor="#010101" strokeweight="17e-5mm"/>
              <v:line id="_x0000_s4411" style="position:absolute" from="4883,3652" to="4884,3707" strokecolor="#010101" strokeweight="17e-5mm"/>
              <v:line id="_x0000_s4412" style="position:absolute" from="5136,3652" to="5137,3707" strokecolor="#010101" strokeweight="17e-5mm"/>
              <v:line id="_x0000_s4413" style="position:absolute" from="5388,3652" to="5389,3707" strokecolor="#010101" strokeweight="17e-5mm"/>
              <v:rect id="_x0000_s4414" style="position:absolute;left:682;top:3718;width:78;height:385" filled="f" stroked="f">
                <v:textbox style="mso-next-textbox:#_x0000_s4414;mso-fit-shape-to-text:t" inset="0,0,0,0">
                  <w:txbxContent>
                    <w:p w:rsidR="0076245B" w:rsidRDefault="0076245B" w:rsidP="0076245B">
                      <w:r>
                        <w:rPr>
                          <w:rFonts w:ascii="Arial" w:hAnsi="Arial" w:cs="Arial"/>
                          <w:color w:val="000000"/>
                          <w:sz w:val="14"/>
                          <w:szCs w:val="14"/>
                        </w:rPr>
                        <w:t>2</w:t>
                      </w:r>
                    </w:p>
                  </w:txbxContent>
                </v:textbox>
              </v:rect>
              <v:line id="_x0000_s4415" style="position:absolute" from="592,3652" to="593,3707" strokecolor="#010101" strokeweight="17e-5mm"/>
              <v:rect id="_x0000_s4416" style="position:absolute;left:1187;top:3718;width:78;height:385" filled="f" stroked="f">
                <v:textbox style="mso-next-textbox:#_x0000_s4416;mso-fit-shape-to-text:t" inset="0,0,0,0">
                  <w:txbxContent>
                    <w:p w:rsidR="0076245B" w:rsidRDefault="0076245B" w:rsidP="0076245B">
                      <w:r>
                        <w:rPr>
                          <w:rFonts w:ascii="Arial" w:hAnsi="Arial" w:cs="Arial"/>
                          <w:color w:val="000000"/>
                          <w:sz w:val="14"/>
                          <w:szCs w:val="14"/>
                        </w:rPr>
                        <w:t>4</w:t>
                      </w:r>
                    </w:p>
                  </w:txbxContent>
                </v:textbox>
              </v:rect>
              <v:line id="_x0000_s4417" style="position:absolute" from="1097,3652" to="1098,3707" strokecolor="#010101" strokeweight="17e-5mm"/>
              <v:rect id="_x0000_s4418" style="position:absolute;left:1692;top:3718;width:78;height:385" filled="f" stroked="f">
                <v:textbox style="mso-next-textbox:#_x0000_s4418;mso-fit-shape-to-text:t" inset="0,0,0,0">
                  <w:txbxContent>
                    <w:p w:rsidR="0076245B" w:rsidRDefault="0076245B" w:rsidP="0076245B">
                      <w:r>
                        <w:rPr>
                          <w:rFonts w:ascii="Arial" w:hAnsi="Arial" w:cs="Arial"/>
                          <w:color w:val="000000"/>
                          <w:sz w:val="14"/>
                          <w:szCs w:val="14"/>
                        </w:rPr>
                        <w:t>6</w:t>
                      </w:r>
                    </w:p>
                  </w:txbxContent>
                </v:textbox>
              </v:rect>
              <v:line id="_x0000_s4419" style="position:absolute" from="1602,3652" to="1603,3707" strokecolor="#010101" strokeweight="17e-5mm"/>
              <v:rect id="_x0000_s4420" style="position:absolute;left:2196;top:3718;width:78;height:385" filled="f" stroked="f">
                <v:textbox style="mso-next-textbox:#_x0000_s4420;mso-fit-shape-to-text:t" inset="0,0,0,0">
                  <w:txbxContent>
                    <w:p w:rsidR="0076245B" w:rsidRDefault="0076245B" w:rsidP="0076245B">
                      <w:r>
                        <w:rPr>
                          <w:rFonts w:ascii="Arial" w:hAnsi="Arial" w:cs="Arial"/>
                          <w:color w:val="000000"/>
                          <w:sz w:val="14"/>
                          <w:szCs w:val="14"/>
                        </w:rPr>
                        <w:t>8</w:t>
                      </w:r>
                    </w:p>
                  </w:txbxContent>
                </v:textbox>
              </v:rect>
              <v:line id="_x0000_s4421" style="position:absolute" from="2107,3652" to="2108,3707" strokecolor="#010101" strokeweight="17e-5mm"/>
              <v:rect id="_x0000_s4422" style="position:absolute;left:2664;top:3718;width:156;height:570" filled="f" stroked="f">
                <v:textbox style="mso-next-textbox:#_x0000_s4422;mso-fit-shape-to-text:t" inset="0,0,0,0">
                  <w:txbxContent>
                    <w:p w:rsidR="0076245B" w:rsidRDefault="0076245B" w:rsidP="0076245B">
                      <w:r>
                        <w:rPr>
                          <w:rFonts w:ascii="Arial" w:hAnsi="Arial" w:cs="Arial"/>
                          <w:color w:val="000000"/>
                          <w:sz w:val="14"/>
                          <w:szCs w:val="14"/>
                        </w:rPr>
                        <w:t>10</w:t>
                      </w:r>
                    </w:p>
                  </w:txbxContent>
                </v:textbox>
              </v:rect>
              <v:line id="_x0000_s4423" style="position:absolute" from="2612,3652" to="2613,3707" strokecolor="#010101" strokeweight="17e-5mm"/>
              <v:rect id="_x0000_s4424" style="position:absolute;left:3168;top:3718;width:156;height:570" filled="f" stroked="f">
                <v:textbox style="mso-next-textbox:#_x0000_s4424;mso-fit-shape-to-text:t" inset="0,0,0,0">
                  <w:txbxContent>
                    <w:p w:rsidR="0076245B" w:rsidRDefault="0076245B" w:rsidP="0076245B">
                      <w:r>
                        <w:rPr>
                          <w:rFonts w:ascii="Arial" w:hAnsi="Arial" w:cs="Arial"/>
                          <w:color w:val="000000"/>
                          <w:sz w:val="14"/>
                          <w:szCs w:val="14"/>
                        </w:rPr>
                        <w:t>12</w:t>
                      </w:r>
                    </w:p>
                  </w:txbxContent>
                </v:textbox>
              </v:rect>
              <v:line id="_x0000_s4425" style="position:absolute" from="3117,3652" to="3118,3707" strokecolor="#010101" strokeweight="17e-5mm"/>
              <v:rect id="_x0000_s4426" style="position:absolute;left:3673;top:3718;width:156;height:570" filled="f" stroked="f">
                <v:textbox style="mso-next-textbox:#_x0000_s4426;mso-fit-shape-to-text:t" inset="0,0,0,0">
                  <w:txbxContent>
                    <w:p w:rsidR="0076245B" w:rsidRDefault="0076245B" w:rsidP="0076245B">
                      <w:r>
                        <w:rPr>
                          <w:rFonts w:ascii="Arial" w:hAnsi="Arial" w:cs="Arial"/>
                          <w:color w:val="000000"/>
                          <w:sz w:val="14"/>
                          <w:szCs w:val="14"/>
                        </w:rPr>
                        <w:t>14</w:t>
                      </w:r>
                    </w:p>
                  </w:txbxContent>
                </v:textbox>
              </v:rect>
              <v:line id="_x0000_s4427" style="position:absolute" from="3621,3652" to="3622,3707" strokecolor="#010101" strokeweight="17e-5mm"/>
              <v:rect id="_x0000_s4428" style="position:absolute;left:4178;top:3718;width:156;height:570" filled="f" stroked="f">
                <v:textbox style="mso-next-textbox:#_x0000_s4428;mso-fit-shape-to-text:t" inset="0,0,0,0">
                  <w:txbxContent>
                    <w:p w:rsidR="0076245B" w:rsidRDefault="0076245B" w:rsidP="0076245B">
                      <w:r>
                        <w:rPr>
                          <w:rFonts w:ascii="Arial" w:hAnsi="Arial" w:cs="Arial"/>
                          <w:color w:val="000000"/>
                          <w:sz w:val="14"/>
                          <w:szCs w:val="14"/>
                        </w:rPr>
                        <w:t>16</w:t>
                      </w:r>
                    </w:p>
                  </w:txbxContent>
                </v:textbox>
              </v:rect>
              <v:line id="_x0000_s4429" style="position:absolute" from="4126,3652" to="4127,3707" strokecolor="#010101" strokeweight="17e-5mm"/>
              <v:rect id="_x0000_s4430" style="position:absolute;left:4683;top:3718;width:156;height:570" filled="f" stroked="f">
                <v:textbox style="mso-next-textbox:#_x0000_s4430;mso-fit-shape-to-text:t" inset="0,0,0,0">
                  <w:txbxContent>
                    <w:p w:rsidR="0076245B" w:rsidRDefault="0076245B" w:rsidP="0076245B">
                      <w:r>
                        <w:rPr>
                          <w:rFonts w:ascii="Arial" w:hAnsi="Arial" w:cs="Arial"/>
                          <w:color w:val="000000"/>
                          <w:sz w:val="14"/>
                          <w:szCs w:val="14"/>
                        </w:rPr>
                        <w:t>18</w:t>
                      </w:r>
                    </w:p>
                  </w:txbxContent>
                </v:textbox>
              </v:rect>
              <v:line id="_x0000_s4431" style="position:absolute" from="4631,3652" to="4632,3707" strokecolor="#010101" strokeweight="17e-5mm"/>
              <v:rect id="_x0000_s4432" style="position:absolute;left:5188;top:3718;width:156;height:570" filled="f" stroked="f">
                <v:textbox style="mso-next-textbox:#_x0000_s4432;mso-fit-shape-to-text:t" inset="0,0,0,0">
                  <w:txbxContent>
                    <w:p w:rsidR="0076245B" w:rsidRDefault="0076245B" w:rsidP="0076245B">
                      <w:r>
                        <w:rPr>
                          <w:rFonts w:ascii="Arial" w:hAnsi="Arial" w:cs="Arial"/>
                          <w:color w:val="000000"/>
                          <w:sz w:val="14"/>
                          <w:szCs w:val="14"/>
                        </w:rPr>
                        <w:t>20</w:t>
                      </w:r>
                    </w:p>
                  </w:txbxContent>
                </v:textbox>
              </v:rect>
              <v:line id="_x0000_s4433" style="position:absolute" from="5136,3652" to="5137,3707" strokecolor="#010101" strokeweight="17e-5mm"/>
              <v:line id="_x0000_s4434" style="position:absolute" from="340,2972" to="5390,2973" strokecolor="#010101" strokeweight="0"/>
              <v:oval id="_x0000_s4435" style="position:absolute;left:444;top:1631;width:35;height:35" fillcolor="blue" strokecolor="blue" strokeweight="17e-5mm"/>
              <v:line id="_x0000_s4436" style="position:absolute;flip:y" from="467,1638" to="506,1654" strokecolor="blue" strokeweight="28e-5mm"/>
              <v:line id="_x0000_s4437" style="position:absolute;flip:y" from="546,1606" to="585,1622" strokecolor="blue" strokeweight="28e-5mm"/>
              <v:line id="_x0000_s4438" style="position:absolute;flip:y" from="626,1575" to="665,1591" strokecolor="blue" strokeweight="28e-5mm"/>
              <v:line id="_x0000_s4439" style="position:absolute;flip:y" from="705,1553" to="719,1559" strokecolor="blue" strokeweight="28e-5mm"/>
              <v:oval id="_x0000_s4440" style="position:absolute;left:696;top:1530;width:35;height:35" fillcolor="blue" strokecolor="blue" strokeweight="17e-5mm"/>
              <v:oval id="_x0000_s4441" style="position:absolute;left:696;top:1530;width:35;height:35" fillcolor="blue" strokecolor="blue" strokeweight="17e-5mm"/>
              <v:oval id="_x0000_s4442" style="position:absolute;left:444;top:1631;width:35;height:35" fillcolor="blue" strokecolor="blue" strokeweight="17e-5mm"/>
              <v:line id="_x0000_s4443" style="position:absolute" from="719,1553" to="728,1579" strokecolor="blue" strokeweight="28e-5mm"/>
              <v:line id="_x0000_s4444" style="position:absolute" from="742,1619" to="757,1660" strokecolor="blue" strokeweight="28e-5mm"/>
              <v:line id="_x0000_s4445" style="position:absolute" from="771,1700" to="787,1740" strokecolor="blue" strokeweight="28e-5mm"/>
              <v:line id="_x0000_s4446" style="position:absolute" from="802,1781" to="816,1821" strokecolor="blue" strokeweight="28e-5mm"/>
              <v:line id="_x0000_s4447" style="position:absolute" from="830,1861" to="845,1902" strokecolor="blue" strokeweight="28e-5mm"/>
              <v:line id="_x0000_s4448" style="position:absolute" from="859,1942" to="874,1982" strokecolor="blue" strokeweight="28e-5mm"/>
              <v:line id="_x0000_s4449" style="position:absolute" from="888,2023" to="903,2063" strokecolor="blue" strokeweight="28e-5mm"/>
              <v:line id="_x0000_s4450" style="position:absolute" from="918,2103" to="933,2144" strokecolor="blue" strokeweight="28e-5mm"/>
              <v:line id="_x0000_s4451" style="position:absolute" from="947,2184" to="962,2225" strokecolor="blue" strokeweight="28e-5mm"/>
              <v:oval id="_x0000_s4452" style="position:absolute;left:949;top:2226;width:34;height:36" fillcolor="blue" strokecolor="blue" strokeweight="17e-5mm"/>
              <v:oval id="_x0000_s4453" style="position:absolute;left:949;top:2226;width:34;height:36" fillcolor="blue" strokecolor="blue" strokeweight="17e-5mm"/>
              <v:oval id="_x0000_s4454" style="position:absolute;left:696;top:1530;width:35;height:35" fillcolor="blue" strokecolor="blue" strokeweight="17e-5mm"/>
              <v:line id="_x0000_s4455" style="position:absolute" from="976,2265" to="989,2307" strokecolor="blue" strokeweight="28e-5mm"/>
              <v:line id="_x0000_s4456" style="position:absolute" from="1002,2348" to="1014,2390" strokecolor="blue" strokeweight="28e-5mm"/>
              <v:line id="_x0000_s4457" style="position:absolute" from="1027,2432" to="1040,2472" strokecolor="blue" strokeweight="28e-5mm"/>
              <v:line id="_x0000_s4458" style="position:absolute" from="1053,2514" to="1066,2556" strokecolor="blue" strokeweight="28e-5mm"/>
              <v:line id="_x0000_s4459" style="position:absolute" from="1079,2598" to="1090,2639" strokecolor="blue" strokeweight="28e-5mm"/>
              <v:line id="_x0000_s4460" style="position:absolute" from="1103,2681" to="1116,2722" strokecolor="blue" strokeweight="28e-5mm"/>
              <v:line id="_x0000_s4461" style="position:absolute" from="1129,2763" to="1142,2805" strokecolor="blue" strokeweight="28e-5mm"/>
              <v:line id="_x0000_s4462" style="position:absolute" from="1154,2847" to="1167,2887" strokecolor="blue" strokeweight="28e-5mm"/>
              <v:line id="_x0000_s4463" style="position:absolute" from="1180,2929" to="1192,2971" strokecolor="blue" strokeweight="28e-5mm"/>
              <v:line id="_x0000_s4464" style="position:absolute" from="1205,3013" to="1218,3054" strokecolor="blue" strokeweight="28e-5mm"/>
              <v:oval id="_x0000_s4465" style="position:absolute;left:1201;top:3049;width:35;height:36" fillcolor="blue" strokecolor="blue" strokeweight="17e-5mm"/>
              <v:oval id="_x0000_s4466" style="position:absolute;left:1201;top:3049;width:35;height:36" fillcolor="blue" strokecolor="blue" strokeweight="17e-5mm"/>
              <v:oval id="_x0000_s4467" style="position:absolute;left:949;top:2226;width:34;height:36" fillcolor="blue" strokecolor="blue" strokeweight="17e-5mm"/>
              <v:line id="_x0000_s4468" style="position:absolute" from="1236,3095" to="1255,3132" strokecolor="blue" strokeweight="28e-5mm"/>
              <v:line id="_x0000_s4469" style="position:absolute" from="1275,3170" to="1293,3207" strokecolor="blue" strokeweight="28e-5mm"/>
              <v:line id="_x0000_s4470" style="position:absolute" from="1314,3244" to="1332,3282" strokecolor="blue" strokeweight="28e-5mm"/>
              <v:line id="_x0000_s4471" style="position:absolute" from="1353,3319" to="1371,3357" strokecolor="blue" strokeweight="28e-5mm"/>
              <v:line id="_x0000_s4472" style="position:absolute" from="1392,3394" to="1410,3432" strokecolor="blue" strokeweight="28e-5mm"/>
              <v:line id="_x0000_s4473" style="position:absolute" from="1430,3469" to="1449,3507" strokecolor="blue" strokeweight="28e-5mm"/>
              <v:line id="_x0000_s4474" style="position:absolute" from="1469,3544" to="1477,3556" strokecolor="blue" strokeweight="28e-5mm"/>
              <v:oval id="_x0000_s4475" style="position:absolute;left:1454;top:3533;width:34;height:34" fillcolor="blue" strokecolor="blue" strokeweight="17e-5mm"/>
              <v:oval id="_x0000_s4476" style="position:absolute;left:1454;top:3533;width:34;height:34" fillcolor="blue" strokecolor="blue" strokeweight="17e-5mm"/>
              <v:oval id="_x0000_s4477" style="position:absolute;left:1201;top:3049;width:35;height:36" fillcolor="blue" strokecolor="blue" strokeweight="17e-5mm"/>
              <v:line id="_x0000_s4478" style="position:absolute" from="1477,3556" to="1505,3560" strokecolor="blue" strokeweight="28e-5mm"/>
              <v:line id="_x0000_s4479" style="position:absolute" from="1549,3569" to="1591,3577" strokecolor="blue" strokeweight="28e-5mm"/>
              <v:line id="_x0000_s4480" style="position:absolute" from="1634,3586" to="1676,3595" strokecolor="blue" strokeweight="28e-5mm"/>
              <v:line id="_x0000_s4481" style="position:absolute" from="1719,3603" to="1729,3606" strokecolor="blue" strokeweight="28e-5mm"/>
              <v:oval id="_x0000_s4482" style="position:absolute;left:1706;top:3583;width:35;height:36" fillcolor="blue" strokecolor="blue" strokeweight="17e-5mm"/>
              <v:oval id="_x0000_s4483" style="position:absolute;left:1706;top:3583;width:35;height:36" fillcolor="blue" strokecolor="blue" strokeweight="17e-5mm"/>
              <v:oval id="_x0000_s4484" style="position:absolute;left:1454;top:3533;width:34;height:34" fillcolor="blue" strokecolor="blue" strokeweight="17e-5mm"/>
              <v:line id="_x0000_s4485" style="position:absolute;flip:y" from="1729,3584" to="1754,3606" strokecolor="blue" strokeweight="28e-5mm"/>
              <v:line id="_x0000_s4486" style="position:absolute;flip:y" from="1787,3528" to="1818,3556" strokecolor="blue" strokeweight="28e-5mm"/>
              <v:line id="_x0000_s4487" style="position:absolute;flip:y" from="1852,3472" to="1883,3499" strokecolor="blue" strokeweight="28e-5mm"/>
              <v:line id="_x0000_s4488" style="position:absolute;flip:y" from="1917,3416" to="1948,3443" strokecolor="blue" strokeweight="28e-5mm"/>
              <v:oval id="_x0000_s4489" style="position:absolute;left:1958;top:3364;width:35;height:36" fillcolor="blue" strokecolor="blue" strokeweight="17e-5mm"/>
              <v:oval id="_x0000_s4490" style="position:absolute;left:1958;top:3364;width:35;height:36" fillcolor="blue" strokecolor="blue" strokeweight="17e-5mm"/>
              <v:oval id="_x0000_s4491" style="position:absolute;left:1706;top:3583;width:35;height:36" fillcolor="blue" strokecolor="blue" strokeweight="17e-5mm"/>
              <v:line id="_x0000_s4492" style="position:absolute;flip:y" from="1981,3357" to="2012,3387" strokecolor="blue" strokeweight="28e-5mm"/>
              <v:line id="_x0000_s4493" style="position:absolute;flip:y" from="2042,3296" to="2072,3327" strokecolor="blue" strokeweight="28e-5mm"/>
              <v:line id="_x0000_s4494" style="position:absolute;flip:y" from="2103,3237" to="2133,3266" strokecolor="blue" strokeweight="28e-5mm"/>
              <v:line id="_x0000_s4495" style="position:absolute;flip:y" from="2163,3177" to="2193,3207" strokecolor="blue" strokeweight="28e-5mm"/>
              <v:line id="_x0000_s4496" style="position:absolute;flip:y" from="2224,3136" to="2234,3147" strokecolor="blue" strokeweight="28e-5mm"/>
              <v:oval id="_x0000_s4497" style="position:absolute;left:2211;top:3113;width:34;height:35" fillcolor="blue" strokecolor="blue" strokeweight="17e-5mm"/>
              <v:oval id="_x0000_s4498" style="position:absolute;left:2211;top:3113;width:34;height:35" fillcolor="blue" strokecolor="blue" strokeweight="17e-5mm"/>
              <v:oval id="_x0000_s4499" style="position:absolute;left:1958;top:3364;width:35;height:36" fillcolor="blue" strokecolor="blue" strokeweight="17e-5mm"/>
              <v:line id="_x0000_s4500" style="position:absolute;flip:y" from="2234,3123" to="2258,3136" strokecolor="blue" strokeweight="28e-5mm"/>
              <v:line id="_x0000_s4501" style="position:absolute;flip:y" from="2296,3085" to="2333,3103" strokecolor="blue" strokeweight="28e-5mm"/>
              <v:line id="_x0000_s4502" style="position:absolute;flip:y" from="2371,3046" to="2408,3064" strokecolor="blue" strokeweight="28e-5mm"/>
              <v:line id="_x0000_s4503" style="position:absolute;flip:y" from="2446,3007" to="2483,3026" strokecolor="blue" strokeweight="28e-5mm"/>
              <v:oval id="_x0000_s4504" style="position:absolute;left:2463;top:2982;width:35;height:36" fillcolor="blue" strokecolor="blue" strokeweight="17e-5mm"/>
              <v:oval id="_x0000_s4505" style="position:absolute;left:2463;top:2982;width:35;height:36" fillcolor="blue" strokecolor="blue" strokeweight="17e-5mm"/>
              <v:oval id="_x0000_s4506" style="position:absolute;left:2211;top:3113;width:34;height:35" fillcolor="blue" strokecolor="blue" strokeweight="17e-5mm"/>
              <v:line id="_x0000_s4507" style="position:absolute" from="2527,3007" to="2570,3008" strokecolor="blue" strokeweight="28e-5mm"/>
              <v:line id="_x0000_s4508" style="position:absolute" from="2613,3010" to="2656,3013" strokecolor="blue" strokeweight="28e-5mm"/>
              <v:line id="_x0000_s4509" style="position:absolute" from="2700,3014" to="2739,3017" strokecolor="blue" strokeweight="28e-5mm"/>
              <v:oval id="_x0000_s4510" style="position:absolute;left:2716;top:2994;width:34;height:36" fillcolor="blue" strokecolor="blue" strokeweight="17e-5mm"/>
              <v:oval id="_x0000_s4511" style="position:absolute;left:2716;top:2994;width:34;height:36" fillcolor="blue" strokecolor="blue" strokeweight="17e-5mm"/>
              <v:oval id="_x0000_s4512" style="position:absolute;left:2463;top:2982;width:35;height:36" fillcolor="blue" strokecolor="blue" strokeweight="17e-5mm"/>
              <v:line id="_x0000_s4513" style="position:absolute" from="2739,3017" to="2743,3018" strokecolor="blue" strokeweight="28e-5mm"/>
              <v:line id="_x0000_s4514" style="position:absolute" from="2783,3033" to="2824,3047" strokecolor="blue" strokeweight="28e-5mm"/>
              <v:line id="_x0000_s4515" style="position:absolute" from="2864,3062" to="2905,3076" strokecolor="blue" strokeweight="28e-5mm"/>
              <v:line id="_x0000_s4516" style="position:absolute" from="2945,3090" to="2985,3106" strokecolor="blue" strokeweight="28e-5mm"/>
              <v:oval id="_x0000_s4517" style="position:absolute;left:2968;top:3086;width:35;height:36" fillcolor="blue" strokecolor="blue" strokeweight="17e-5mm"/>
              <v:oval id="_x0000_s4518" style="position:absolute;left:2968;top:3086;width:35;height:36" fillcolor="blue" strokecolor="blue" strokeweight="17e-5mm"/>
              <v:oval id="_x0000_s4519" style="position:absolute;left:2716;top:2994;width:34;height:36" fillcolor="blue" strokecolor="blue" strokeweight="17e-5mm"/>
              <v:line id="_x0000_s4520" style="position:absolute" from="3026,3121" to="3066,3136" strokecolor="blue" strokeweight="28e-5mm"/>
              <v:line id="_x0000_s4521" style="position:absolute" from="3106,3151" to="3147,3165" strokecolor="blue" strokeweight="28e-5mm"/>
              <v:line id="_x0000_s4522" style="position:absolute" from="3187,3181" to="3228,3195" strokecolor="blue" strokeweight="28e-5mm"/>
              <v:oval id="_x0000_s4523" style="position:absolute;left:3220;top:3180;width:36;height:34" fillcolor="blue" strokecolor="blue" strokeweight="17e-5mm"/>
              <v:oval id="_x0000_s4524" style="position:absolute;left:3220;top:3180;width:36;height:34" fillcolor="blue" strokecolor="blue" strokeweight="17e-5mm"/>
              <v:oval id="_x0000_s4525" style="position:absolute;left:2968;top:3086;width:35;height:36" fillcolor="blue" strokecolor="blue" strokeweight="17e-5mm"/>
              <v:line id="_x0000_s4526" style="position:absolute" from="3269,3207" to="3311,3216" strokecolor="blue" strokeweight="28e-5mm"/>
              <v:line id="_x0000_s4527" style="position:absolute" from="3355,3223" to="3396,3232" strokecolor="blue" strokeweight="28e-5mm"/>
              <v:line id="_x0000_s4528" style="position:absolute" from="3440,3240" to="3481,3247" strokecolor="blue" strokeweight="28e-5mm"/>
              <v:oval id="_x0000_s4529" style="position:absolute;left:3473;top:3229;width:36;height:36" fillcolor="blue" strokecolor="blue" strokeweight="17e-5mm"/>
              <v:oval id="_x0000_s4530" style="position:absolute;left:3473;top:3229;width:36;height:36" fillcolor="blue" strokecolor="blue" strokeweight="17e-5mm"/>
              <v:oval id="_x0000_s4531" style="position:absolute;left:3220;top:3180;width:36;height:34" fillcolor="blue" strokecolor="blue" strokeweight="17e-5mm"/>
              <v:line id="_x0000_s4532" style="position:absolute" from="3525,3250" to="3568,3251" strokecolor="blue" strokeweight="28e-5mm"/>
              <v:line id="_x0000_s4533" style="position:absolute;flip:y" from="3611,3249" to="3655,3250" strokecolor="blue" strokeweight="28e-5mm"/>
              <v:line id="_x0000_s4534" style="position:absolute" from="3698,3249" to="3741,3250" strokecolor="blue" strokeweight="28e-5mm"/>
              <v:oval id="_x0000_s4535" style="position:absolute;left:3725;top:3226;width:36;height:34" fillcolor="blue" strokecolor="blue" strokeweight="17e-5mm"/>
              <v:oval id="_x0000_s4536" style="position:absolute;left:3725;top:3226;width:36;height:34" fillcolor="blue" strokecolor="blue" strokeweight="17e-5mm"/>
              <v:oval id="_x0000_s4537" style="position:absolute;left:3473;top:3229;width:36;height:36" fillcolor="blue" strokecolor="blue" strokeweight="17e-5mm"/>
              <v:line id="_x0000_s4538" style="position:absolute;flip:y" from="3784,3239" to="3826,3244" strokecolor="blue" strokeweight="28e-5mm"/>
              <v:line id="_x0000_s4539" style="position:absolute;flip:y" from="3869,3230" to="3913,3234" strokecolor="blue" strokeweight="28e-5mm"/>
              <v:line id="_x0000_s4540" style="position:absolute;flip:y" from="3956,3220" to="3999,3224" strokecolor="blue" strokeweight="28e-5mm"/>
              <v:oval id="_x0000_s4541" style="position:absolute;left:3978;top:3197;width:36;height:36" fillcolor="blue" strokecolor="blue" strokeweight="17e-5mm"/>
              <v:oval id="_x0000_s4542" style="position:absolute;left:3978;top:3197;width:36;height:36" fillcolor="blue" strokecolor="blue" strokeweight="17e-5mm"/>
              <v:oval id="_x0000_s4543" style="position:absolute;left:3725;top:3226;width:36;height:34" fillcolor="blue" strokecolor="blue" strokeweight="17e-5mm"/>
              <v:line id="_x0000_s4544" style="position:absolute;flip:y" from="4043,3210" to="4086,3214" strokecolor="blue" strokeweight="28e-5mm"/>
              <v:line id="_x0000_s4545" style="position:absolute;flip:y" from="4129,3200" to="4172,3204" strokecolor="blue" strokeweight="28e-5mm"/>
              <v:line id="_x0000_s4546" style="position:absolute;flip:y" from="4216,3191" to="4253,3195" strokecolor="blue" strokeweight="28e-5mm"/>
              <v:oval id="_x0000_s4547" style="position:absolute;left:4230;top:3168;width:36;height:35" fillcolor="blue" strokecolor="blue" strokeweight="17e-5mm"/>
              <v:oval id="_x0000_s4548" style="position:absolute;left:4230;top:3168;width:36;height:35" fillcolor="blue" strokecolor="blue" strokeweight="17e-5mm"/>
              <v:oval id="_x0000_s4549" style="position:absolute;left:3978;top:3197;width:36;height:36" fillcolor="blue" strokecolor="blue" strokeweight="17e-5mm"/>
              <v:line id="_x0000_s4550" style="position:absolute;flip:y" from="4253,3190" to="4257,3191" strokecolor="blue" strokeweight="28e-5mm"/>
              <v:line id="_x0000_s4551" style="position:absolute;flip:y" from="4301,3185" to="4344,3188" strokecolor="blue" strokeweight="28e-5mm"/>
              <v:line id="_x0000_s4552" style="position:absolute;flip:y" from="4387,3181" to="4431,3184" strokecolor="blue" strokeweight="28e-5mm"/>
              <v:line id="_x0000_s4553" style="position:absolute;flip:y" from="4474,3178" to="4506,3180" strokecolor="blue" strokeweight="28e-5mm"/>
              <v:oval id="_x0000_s4554" style="position:absolute;left:4482;top:3155;width:36;height:35" fillcolor="blue" strokecolor="blue" strokeweight="17e-5mm"/>
              <v:oval id="_x0000_s4555" style="position:absolute;left:4482;top:3155;width:36;height:35" fillcolor="blue" strokecolor="blue" strokeweight="17e-5mm"/>
              <v:oval id="_x0000_s4556" style="position:absolute;left:4230;top:3168;width:36;height:35" fillcolor="blue" strokecolor="blue" strokeweight="17e-5mm"/>
              <v:line id="_x0000_s4557" style="position:absolute" from="4506,3178" to="4517,3179" strokecolor="blue" strokeweight="28e-5mm"/>
              <v:line id="_x0000_s4558" style="position:absolute" from="4560,3178" to="4604,3180" strokecolor="blue" strokeweight="28e-5mm"/>
              <v:line id="_x0000_s4559" style="position:absolute" from="4647,3180" to="4690,3181" strokecolor="blue" strokeweight="28e-5mm"/>
              <v:line id="_x0000_s4560" style="position:absolute" from="4733,3181" to="4758,3183" strokecolor="blue" strokeweight="28e-5mm"/>
              <v:oval id="_x0000_s4561" style="position:absolute;left:4735;top:3159;width:36;height:36" fillcolor="blue" strokecolor="blue" strokeweight="17e-5mm"/>
              <v:oval id="_x0000_s4562" style="position:absolute;left:4735;top:3159;width:36;height:36" fillcolor="blue" strokecolor="blue" strokeweight="17e-5mm"/>
              <v:oval id="_x0000_s4563" style="position:absolute;left:4482;top:3155;width:36;height:35" fillcolor="blue" strokecolor="blue" strokeweight="17e-5mm"/>
              <v:line id="_x0000_s4564" style="position:absolute" from="4758,3183" to="4777,3184" strokecolor="blue" strokeweight="28e-5mm"/>
              <v:line id="_x0000_s4565" style="position:absolute" from="4820,3184" to="4863,3187" strokecolor="blue" strokeweight="28e-5mm"/>
              <v:line id="_x0000_s4566" style="position:absolute" from="4906,3188" to="4950,3191" strokecolor="blue" strokeweight="28e-5mm"/>
              <v:line id="_x0000_s4567" style="position:absolute" from="4993,3193" to="5010,3194" strokecolor="blue" strokeweight="28e-5mm"/>
              <v:oval id="_x0000_s4568" style="position:absolute;left:4987;top:3171;width:36;height:36" fillcolor="blue" strokecolor="blue" strokeweight="17e-5mm"/>
              <v:oval id="_x0000_s4569" style="position:absolute;left:4987;top:3171;width:36;height:36" fillcolor="blue" strokecolor="blue" strokeweight="17e-5mm"/>
              <v:oval id="_x0000_s4570" style="position:absolute;left:4735;top:3159;width:36;height:36" fillcolor="blue" strokecolor="blue" strokeweight="17e-5mm"/>
            </v:group>
            <v:line id="_x0000_s4571" style="position:absolute" from="5010,3194" to="5036,3195" strokecolor="blue" strokeweight="28e-5mm"/>
            <v:line id="_x0000_s4572" style="position:absolute" from="5080,3195" to="5123,3198" strokecolor="blue" strokeweight="28e-5mm"/>
            <v:line id="_x0000_s4573" style="position:absolute" from="5166,3200" to="5209,3201" strokecolor="blue" strokeweight="28e-5mm"/>
            <v:line id="_x0000_s4574" style="position:absolute" from="5253,3203" to="5263,3204" strokecolor="blue" strokeweight="28e-5mm"/>
            <v:oval id="_x0000_s4575" style="position:absolute;left:5240;top:3181;width:36;height:35" fillcolor="blue" strokecolor="blue" strokeweight="17e-5mm"/>
            <v:oval id="_x0000_s4576" style="position:absolute;left:5240;top:3181;width:36;height:35" fillcolor="blue" strokecolor="blue" strokeweight="17e-5mm"/>
            <v:oval id="_x0000_s4577" style="position:absolute;left:4987;top:3171;width:36;height:36" fillcolor="blue" strokecolor="blue" strokeweight="17e-5mm"/>
            <v:oval id="_x0000_s4578" style="position:absolute;left:444;top:2949;width:35;height:36" strokecolor="red" strokeweight=".00025mm"/>
            <v:line id="_x0000_s4579" style="position:absolute;flip:y" from="467,2781" to="719,2972" strokecolor="red" strokeweight="39e-5mm"/>
            <v:oval id="_x0000_s4580" style="position:absolute;left:696;top:2758;width:35;height:34" strokecolor="red" strokeweight=".00025mm"/>
            <v:oval id="_x0000_s4581" style="position:absolute;left:696;top:2758;width:35;height:34" strokecolor="red" strokeweight=".00025mm"/>
            <v:oval id="_x0000_s4582" style="position:absolute;left:444;top:2949;width:35;height:36" strokecolor="red" strokeweight=".00025mm"/>
            <v:line id="_x0000_s4583" style="position:absolute;flip:y" from="719,2330" to="972,2781" strokecolor="red" strokeweight="39e-5mm"/>
            <v:oval id="_x0000_s4584" style="position:absolute;left:949;top:2307;width:34;height:36" strokecolor="red" strokeweight=".00025mm"/>
            <v:oval id="_x0000_s4585" style="position:absolute;left:949;top:2307;width:34;height:36" strokecolor="red" strokeweight=".00025mm"/>
            <v:oval id="_x0000_s4586" style="position:absolute;left:696;top:2758;width:35;height:34" strokecolor="red" strokeweight=".00025mm"/>
            <v:line id="_x0000_s4587" style="position:absolute;flip:y" from="972,1775" to="1224,2330" strokecolor="red" strokeweight="39e-5mm"/>
            <v:oval id="_x0000_s4588" style="position:absolute;left:1201;top:1752;width:35;height:35" strokecolor="red" strokeweight=".00025mm"/>
            <v:oval id="_x0000_s4589" style="position:absolute;left:1201;top:1752;width:35;height:35" strokecolor="red" strokeweight=".00025mm"/>
            <v:oval id="_x0000_s4590" style="position:absolute;left:949;top:2307;width:34;height:36" strokecolor="red" strokeweight=".00025mm"/>
            <v:line id="_x0000_s4591" style="position:absolute;flip:y" from="1224,1310" to="1477,1775" strokecolor="red" strokeweight="39e-5mm"/>
            <v:oval id="_x0000_s4592" style="position:absolute;left:1454;top:1287;width:34;height:34" strokecolor="red" strokeweight=".00025mm"/>
            <v:oval id="_x0000_s4593" style="position:absolute;left:1454;top:1287;width:34;height:34" strokecolor="red" strokeweight=".00025mm"/>
            <v:oval id="_x0000_s4594" style="position:absolute;left:1201;top:1752;width:35;height:35" strokecolor="red" strokeweight=".00025mm"/>
            <v:line id="_x0000_s4595" style="position:absolute;flip:y" from="1477,1030" to="1729,1310" strokecolor="red" strokeweight="39e-5mm"/>
            <v:oval id="_x0000_s4596" style="position:absolute;left:1706;top:1007;width:35;height:35" strokecolor="red" strokeweight=".00025mm"/>
            <v:oval id="_x0000_s4597" style="position:absolute;left:1706;top:1007;width:35;height:35" strokecolor="red" strokeweight=".00025mm"/>
            <v:oval id="_x0000_s4598" style="position:absolute;left:1454;top:1287;width:34;height:34" strokecolor="red" strokeweight=".00025mm"/>
            <v:line id="_x0000_s4599" style="position:absolute;flip:y" from="1729,925" to="1981,1030" strokecolor="red" strokeweight="39e-5mm"/>
            <v:oval id="_x0000_s4600" style="position:absolute;left:1958;top:902;width:35;height:36" strokecolor="red" strokeweight=".00025mm"/>
            <v:oval id="_x0000_s4601" style="position:absolute;left:1958;top:902;width:35;height:36" strokecolor="red" strokeweight=".00025mm"/>
            <v:oval id="_x0000_s4602" style="position:absolute;left:1706;top:1007;width:35;height:35" strokecolor="red" strokeweight=".00025mm"/>
            <v:line id="_x0000_s4603" style="position:absolute;flip:y" from="1981,915" to="2234,925" strokecolor="red" strokeweight="39e-5mm"/>
            <v:oval id="_x0000_s4604" style="position:absolute;left:2211;top:892;width:34;height:36" strokecolor="red" strokeweight=".00025mm"/>
            <v:oval id="_x0000_s4605" style="position:absolute;left:2211;top:892;width:34;height:36" strokecolor="red" strokeweight=".00025mm"/>
            <v:oval id="_x0000_s4606" style="position:absolute;left:1958;top:902;width:35;height:36" strokecolor="red" strokeweight=".00025mm"/>
            <v:line id="_x0000_s4607" style="position:absolute" from="2234,915" to="2486,918" strokecolor="red" strokeweight="39e-5mm"/>
            <v:oval id="_x0000_s4608" style="position:absolute;left:2463;top:895;width:35;height:36" strokecolor="red" strokeweight=".00025mm"/>
            <v:oval id="_x0000_s4609" style="position:absolute;left:2463;top:895;width:35;height:36" strokecolor="red" strokeweight=".00025mm"/>
            <v:oval id="_x0000_s4610" style="position:absolute;left:2211;top:892;width:34;height:36" strokecolor="red" strokeweight=".00025mm"/>
            <v:line id="_x0000_s4611" style="position:absolute;flip:y" from="2486,892" to="2739,918" strokecolor="red" strokeweight="39e-5mm"/>
            <v:oval id="_x0000_s4612" style="position:absolute;left:2716;top:869;width:34;height:36" strokecolor="red" strokeweight=".00025mm"/>
            <v:oval id="_x0000_s4613" style="position:absolute;left:2716;top:869;width:34;height:36" strokecolor="red" strokeweight=".00025mm"/>
            <v:oval id="_x0000_s4614" style="position:absolute;left:2463;top:895;width:35;height:36" strokecolor="red" strokeweight=".00025mm"/>
            <v:line id="_x0000_s4615" style="position:absolute;flip:y" from="2739,837" to="2991,892" strokecolor="red" strokeweight="39e-5mm"/>
            <v:oval id="_x0000_s4616" style="position:absolute;left:2968;top:814;width:35;height:36" strokecolor="red" strokeweight=".00025mm"/>
            <v:oval id="_x0000_s4617" style="position:absolute;left:2968;top:814;width:35;height:36" strokecolor="red" strokeweight=".00025mm"/>
            <v:oval id="_x0000_s4618" style="position:absolute;left:2716;top:869;width:34;height:36" strokecolor="red" strokeweight=".00025mm"/>
            <v:line id="_x0000_s4619" style="position:absolute;flip:y" from="2991,772" to="3243,837" strokecolor="red" strokeweight="39e-5mm"/>
            <v:oval id="_x0000_s4620" style="position:absolute;left:3220;top:749;width:36;height:36" strokecolor="red" strokeweight=".00025mm"/>
            <v:oval id="_x0000_s4621" style="position:absolute;left:3220;top:749;width:36;height:36" strokecolor="red" strokeweight=".00025mm"/>
            <v:oval id="_x0000_s4622" style="position:absolute;left:2968;top:814;width:35;height:36" strokecolor="red" strokeweight=".00025mm"/>
            <v:line id="_x0000_s4623" style="position:absolute;flip:y" from="3243,722" to="3496,772" strokecolor="red" strokeweight="39e-5mm"/>
            <v:oval id="_x0000_s4624" style="position:absolute;left:3473;top:699;width:36;height:34" strokecolor="red" strokeweight=".00025mm"/>
            <v:oval id="_x0000_s4625" style="position:absolute;left:3473;top:699;width:36;height:34" strokecolor="red" strokeweight=".00025mm"/>
            <v:oval id="_x0000_s4626" style="position:absolute;left:3220;top:749;width:36;height:36" strokecolor="red" strokeweight=".00025mm"/>
            <v:line id="_x0000_s4627" style="position:absolute;flip:y" from="3496,693" to="3748,722" strokecolor="red" strokeweight="39e-5mm"/>
            <v:oval id="_x0000_s4628" style="position:absolute;left:3725;top:670;width:36;height:36" strokecolor="red" strokeweight=".00025mm"/>
            <v:oval id="_x0000_s4629" style="position:absolute;left:3725;top:670;width:36;height:36" strokecolor="red" strokeweight=".00025mm"/>
            <v:oval id="_x0000_s4630" style="position:absolute;left:3473;top:699;width:36;height:34" strokecolor="red" strokeweight=".00025mm"/>
            <v:line id="_x0000_s4631" style="position:absolute;flip:y" from="3748,684" to="4001,693" strokecolor="red" strokeweight="39e-5mm"/>
            <v:oval id="_x0000_s4632" style="position:absolute;left:3978;top:661;width:36;height:35" strokecolor="red" strokeweight=".00025mm"/>
            <v:oval id="_x0000_s4633" style="position:absolute;left:3978;top:661;width:36;height:35" strokecolor="red" strokeweight=".00025mm"/>
            <v:oval id="_x0000_s4634" style="position:absolute;left:3725;top:670;width:36;height:36" strokecolor="red" strokeweight=".00025mm"/>
            <v:line id="_x0000_s4635" style="position:absolute" from="4001,684" to="4253,686" strokecolor="red" strokeweight="39e-5mm"/>
            <v:oval id="_x0000_s4636" style="position:absolute;left:4230;top:663;width:36;height:34" strokecolor="red" strokeweight=".00025mm"/>
            <v:oval id="_x0000_s4637" style="position:absolute;left:4230;top:663;width:36;height:34" strokecolor="red" strokeweight=".00025mm"/>
            <v:oval id="_x0000_s4638" style="position:absolute;left:3978;top:661;width:36;height:35" strokecolor="red" strokeweight=".00025mm"/>
            <v:line id="_x0000_s4639" style="position:absolute" from="4253,686" to="4506,687" strokecolor="red" strokeweight="39e-5mm"/>
            <v:oval id="_x0000_s4640" style="position:absolute;left:4482;top:663;width:36;height:34" strokecolor="red" strokeweight=".00025mm"/>
            <v:oval id="_x0000_s4641" style="position:absolute;left:4482;top:663;width:36;height:34" strokecolor="red" strokeweight=".00025mm"/>
            <v:oval id="_x0000_s4642" style="position:absolute;left:4230;top:663;width:36;height:34" strokecolor="red" strokeweight=".00025mm"/>
            <v:line id="_x0000_s4643" style="position:absolute;flip:y" from="4506,683" to="4758,686" strokecolor="red" strokeweight="39e-5mm"/>
            <v:oval id="_x0000_s4644" style="position:absolute;left:4735;top:660;width:36;height:36" strokecolor="red" strokeweight=".00025mm"/>
            <v:oval id="_x0000_s4645" style="position:absolute;left:4735;top:660;width:36;height:36" strokecolor="red" strokeweight=".00025mm"/>
            <v:oval id="_x0000_s4646" style="position:absolute;left:4482;top:663;width:36;height:34" strokecolor="red" strokeweight=".00025mm"/>
            <v:line id="_x0000_s4647" style="position:absolute;flip:y" from="4758,676" to="5010,683" strokecolor="red" strokeweight="39e-5mm"/>
            <v:oval id="_x0000_s4648" style="position:absolute;left:4987;top:653;width:36;height:34" strokecolor="red" strokeweight=".00025mm"/>
            <v:oval id="_x0000_s4649" style="position:absolute;left:4987;top:653;width:36;height:34" strokecolor="red" strokeweight=".00025mm"/>
            <v:oval id="_x0000_s4650" style="position:absolute;left:4735;top:660;width:36;height:36" strokecolor="red" strokeweight=".00025mm"/>
            <v:line id="_x0000_s4651" style="position:absolute;flip:y" from="5010,669" to="5263,676" strokecolor="red" strokeweight="39e-5mm"/>
            <v:oval id="_x0000_s4652" style="position:absolute;left:5240;top:646;width:36;height:36" strokecolor="red" strokeweight=".00025mm"/>
            <v:oval id="_x0000_s4653" style="position:absolute;left:5240;top:646;width:36;height:36" strokecolor="red" strokeweight=".00025mm"/>
            <v:oval id="_x0000_s4654" style="position:absolute;left:4987;top:653;width:36;height:34" strokecolor="red" strokeweight=".00025mm"/>
            <v:rect id="_x0000_s4655" style="position:absolute;left:339;top:618;width:5051;height:3028" filled="f" strokecolor="#010101" strokeweight="19e-5mm">
              <v:stroke joinstyle="round" endcap="square"/>
            </v:rect>
            <v:rect id="_x0000_s4656" style="position:absolute;left:1164;top:2663;width:735;height:196;mso-wrap-style:none" filled="f" stroked="f">
              <v:textbox style="mso-next-textbox:#_x0000_s4656" inset="0,0,0,0">
                <w:txbxContent>
                  <w:p w:rsidR="0076245B" w:rsidRPr="00B77330" w:rsidRDefault="0076245B" w:rsidP="0076245B">
                    <w:pPr>
                      <w:rPr>
                        <w:sz w:val="18"/>
                        <w:szCs w:val="18"/>
                      </w:rPr>
                    </w:pPr>
                    <w:r w:rsidRPr="00B77330">
                      <w:rPr>
                        <w:rFonts w:ascii="Times New Roman" w:hAnsi="Times New Roman" w:cs="Times New Roman"/>
                        <w:color w:val="000000"/>
                        <w:sz w:val="18"/>
                        <w:szCs w:val="18"/>
                      </w:rPr>
                      <w:t>Real GDP</w:t>
                    </w:r>
                  </w:p>
                </w:txbxContent>
              </v:textbox>
            </v:rect>
            <v:rect id="_x0000_s4657" style="position:absolute;left:1615;top:1121;width:850;height:196;mso-wrap-style:none" filled="f" stroked="f">
              <v:textbox style="mso-next-textbox:#_x0000_s4657" inset="0,0,0,0">
                <w:txbxContent>
                  <w:p w:rsidR="0076245B" w:rsidRPr="00B77330" w:rsidRDefault="0076245B" w:rsidP="0076245B">
                    <w:pPr>
                      <w:rPr>
                        <w:sz w:val="18"/>
                        <w:szCs w:val="18"/>
                      </w:rPr>
                    </w:pPr>
                    <w:r w:rsidRPr="00B77330">
                      <w:rPr>
                        <w:rFonts w:ascii="Times New Roman" w:hAnsi="Times New Roman" w:cs="Times New Roman"/>
                        <w:color w:val="000000"/>
                        <w:sz w:val="18"/>
                        <w:szCs w:val="18"/>
                      </w:rPr>
                      <w:t>Teledencity</w:t>
                    </w:r>
                  </w:p>
                </w:txbxContent>
              </v:textbox>
            </v:rect>
            <v:rect id="_x0000_s4658" style="position:absolute;left:2394;top:198;width:45;height:509;mso-wrap-style:none" filled="f" stroked="f">
              <v:textbox style="mso-next-textbox:#_x0000_s4658;mso-fit-shape-to-text:t" inset="0,0,0,0">
                <w:txbxContent>
                  <w:p w:rsidR="0076245B" w:rsidRDefault="0076245B" w:rsidP="0076245B">
                    <w:r>
                      <w:rPr>
                        <w:rFonts w:ascii="Arial" w:hAnsi="Arial" w:cs="Arial"/>
                        <w:color w:val="000000"/>
                        <w:sz w:val="16"/>
                        <w:szCs w:val="16"/>
                      </w:rPr>
                      <w:t xml:space="preserve"> </w:t>
                    </w:r>
                  </w:p>
                </w:txbxContent>
              </v:textbox>
            </v:rect>
            <v:rect id="_x0000_s4659" style="position:absolute;left:2773;top:198;width:45;height:509;mso-wrap-style:none" filled="f" stroked="f">
              <v:textbox style="mso-next-textbox:#_x0000_s4659;mso-fit-shape-to-text:t" inset="0,0,0,0">
                <w:txbxContent>
                  <w:p w:rsidR="0076245B" w:rsidRDefault="0076245B" w:rsidP="0076245B">
                    <w:r>
                      <w:rPr>
                        <w:rFonts w:ascii="Arial" w:hAnsi="Arial" w:cs="Arial"/>
                        <w:color w:val="000000"/>
                        <w:sz w:val="16"/>
                        <w:szCs w:val="16"/>
                      </w:rPr>
                      <w:t xml:space="preserve"> </w:t>
                    </w:r>
                  </w:p>
                </w:txbxContent>
              </v:textbox>
            </v:rect>
            <v:rect id="_x0000_s4660" style="position:absolute;left:-641;top:1786;width:448;height:760;rotation:270;mso-position-vertical-relative:page;v-text-anchor:middle" filled="f" stroked="f">
              <v:textbox style="mso-next-textbox:#_x0000_s4660" inset="0,0,0,0">
                <w:txbxContent>
                  <w:p w:rsidR="0076245B" w:rsidRPr="00B77330" w:rsidRDefault="0076245B" w:rsidP="0076245B">
                    <w:pPr>
                      <w:rPr>
                        <w:sz w:val="18"/>
                        <w:szCs w:val="18"/>
                      </w:rPr>
                    </w:pPr>
                    <w:r w:rsidRPr="00B77330">
                      <w:rPr>
                        <w:rFonts w:asciiTheme="majorBidi" w:hAnsiTheme="majorBidi" w:cstheme="majorBidi"/>
                        <w:sz w:val="18"/>
                        <w:szCs w:val="18"/>
                      </w:rPr>
                      <w:t xml:space="preserve">Standard </w:t>
                    </w:r>
                    <w:r>
                      <w:rPr>
                        <w:rFonts w:asciiTheme="majorBidi" w:hAnsiTheme="majorBidi" w:cstheme="majorBidi"/>
                        <w:sz w:val="18"/>
                        <w:szCs w:val="18"/>
                      </w:rPr>
                      <w:t>D</w:t>
                    </w:r>
                    <w:r w:rsidRPr="00B77330">
                      <w:rPr>
                        <w:rFonts w:asciiTheme="majorBidi" w:hAnsiTheme="majorBidi" w:cstheme="majorBidi"/>
                        <w:sz w:val="18"/>
                        <w:szCs w:val="18"/>
                      </w:rPr>
                      <w:t>eviation</w:t>
                    </w:r>
                  </w:p>
                </w:txbxContent>
              </v:textbox>
            </v:rect>
            <v:rect id="_x0000_s4661" style="position:absolute;left:2094;top:3920;width:1340;height:196;mso-wrap-style:none" filled="f" stroked="f">
              <v:textbox style="mso-next-textbox:#_x0000_s4661" inset="0,0,0,0">
                <w:txbxContent>
                  <w:p w:rsidR="0076245B" w:rsidRPr="00B77330" w:rsidRDefault="0076245B" w:rsidP="0076245B">
                    <w:r w:rsidRPr="00B77330">
                      <w:rPr>
                        <w:rFonts w:ascii="Times New Roman" w:hAnsi="Times New Roman" w:cs="Times New Roman"/>
                        <w:color w:val="000000"/>
                        <w:sz w:val="18"/>
                        <w:szCs w:val="18"/>
                      </w:rPr>
                      <w:t>Years After Shock</w:t>
                    </w:r>
                  </w:p>
                </w:txbxContent>
              </v:textbox>
            </v:rect>
          </v:group>
        </w:pict>
      </w: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D849FB" w:rsidRDefault="00D849F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D849FB" w:rsidRDefault="00D849FB" w:rsidP="00F33BC8">
      <w:pPr>
        <w:tabs>
          <w:tab w:val="left" w:pos="1382"/>
          <w:tab w:val="left" w:pos="7857"/>
        </w:tabs>
        <w:spacing w:after="0" w:line="240" w:lineRule="auto"/>
        <w:rPr>
          <w:rFonts w:asciiTheme="majorBidi" w:hAnsiTheme="majorBidi" w:cstheme="majorBidi"/>
        </w:rPr>
      </w:pPr>
    </w:p>
    <w:p w:rsidR="00D849FB" w:rsidRDefault="00D849FB" w:rsidP="00F33BC8">
      <w:pPr>
        <w:tabs>
          <w:tab w:val="left" w:pos="1382"/>
          <w:tab w:val="left" w:pos="7857"/>
        </w:tabs>
        <w:spacing w:after="0" w:line="240" w:lineRule="auto"/>
        <w:rPr>
          <w:rFonts w:asciiTheme="majorBidi" w:hAnsiTheme="majorBidi" w:cstheme="majorBidi"/>
        </w:rPr>
      </w:pPr>
    </w:p>
    <w:p w:rsidR="00D849FB" w:rsidRDefault="00D849FB" w:rsidP="00F33BC8">
      <w:pPr>
        <w:tabs>
          <w:tab w:val="left" w:pos="1382"/>
          <w:tab w:val="left" w:pos="7857"/>
        </w:tabs>
        <w:spacing w:after="0" w:line="240" w:lineRule="auto"/>
        <w:rPr>
          <w:rFonts w:asciiTheme="majorBidi" w:hAnsiTheme="majorBidi" w:cstheme="majorBidi"/>
        </w:rPr>
      </w:pPr>
    </w:p>
    <w:p w:rsidR="00D849FB" w:rsidRDefault="00D849FB" w:rsidP="00F33BC8">
      <w:pPr>
        <w:tabs>
          <w:tab w:val="left" w:pos="1382"/>
          <w:tab w:val="left" w:pos="7857"/>
        </w:tabs>
        <w:spacing w:after="0" w:line="240" w:lineRule="auto"/>
        <w:rPr>
          <w:rFonts w:asciiTheme="majorBidi" w:hAnsiTheme="majorBidi" w:cstheme="majorBidi"/>
        </w:rPr>
      </w:pPr>
    </w:p>
    <w:p w:rsidR="0076245B" w:rsidRDefault="0076245B" w:rsidP="00F33BC8">
      <w:pPr>
        <w:tabs>
          <w:tab w:val="left" w:pos="1382"/>
          <w:tab w:val="left" w:pos="7857"/>
        </w:tabs>
        <w:spacing w:after="0" w:line="240" w:lineRule="auto"/>
        <w:rPr>
          <w:rFonts w:asciiTheme="majorBidi" w:hAnsiTheme="majorBidi" w:cstheme="majorBidi"/>
        </w:rPr>
      </w:pPr>
    </w:p>
    <w:p w:rsidR="0076245B" w:rsidRPr="00950C34" w:rsidRDefault="0076245B" w:rsidP="0076245B">
      <w:pPr>
        <w:tabs>
          <w:tab w:val="left" w:pos="2520"/>
          <w:tab w:val="left" w:pos="8190"/>
        </w:tabs>
        <w:spacing w:after="0" w:line="240" w:lineRule="auto"/>
        <w:ind w:left="1530" w:right="630"/>
        <w:rPr>
          <w:rFonts w:asciiTheme="majorBidi" w:hAnsiTheme="majorBidi" w:cstheme="majorBidi"/>
        </w:rPr>
      </w:pPr>
      <w:r w:rsidRPr="00287FCE">
        <w:rPr>
          <w:rFonts w:asciiTheme="majorBidi" w:hAnsiTheme="majorBidi" w:cstheme="majorBidi"/>
          <w:bCs/>
        </w:rPr>
        <w:t>FIGURE 1</w:t>
      </w:r>
      <w:r w:rsidRPr="00950C34">
        <w:rPr>
          <w:rFonts w:asciiTheme="majorBidi" w:hAnsiTheme="majorBidi" w:cstheme="majorBidi"/>
        </w:rPr>
        <w:t>: Impulse responses of Real GDP and Teledencity from a one-standard deviation shock to Teledencity</w:t>
      </w:r>
    </w:p>
    <w:p w:rsidR="00287FCE" w:rsidRDefault="00287FCE" w:rsidP="00F33BC8">
      <w:pPr>
        <w:tabs>
          <w:tab w:val="left" w:pos="1382"/>
          <w:tab w:val="left" w:pos="7857"/>
        </w:tabs>
        <w:spacing w:after="0" w:line="240" w:lineRule="auto"/>
        <w:rPr>
          <w:rFonts w:asciiTheme="majorBidi" w:hAnsiTheme="majorBidi" w:cstheme="majorBidi"/>
        </w:rPr>
      </w:pPr>
    </w:p>
    <w:p w:rsidR="002D48C4" w:rsidRPr="00950C34" w:rsidRDefault="002D48C4" w:rsidP="00F33BC8">
      <w:pPr>
        <w:tabs>
          <w:tab w:val="left" w:pos="1382"/>
          <w:tab w:val="left" w:pos="7857"/>
        </w:tabs>
        <w:spacing w:after="0" w:line="240" w:lineRule="auto"/>
        <w:rPr>
          <w:rFonts w:asciiTheme="majorBidi" w:hAnsiTheme="majorBidi" w:cstheme="majorBidi"/>
        </w:rPr>
      </w:pPr>
    </w:p>
    <w:p w:rsidR="004D6C94" w:rsidRPr="00CE4963" w:rsidRDefault="00CE4963" w:rsidP="00F33BC8">
      <w:pPr>
        <w:pStyle w:val="ListParagraph"/>
        <w:numPr>
          <w:ilvl w:val="0"/>
          <w:numId w:val="1"/>
        </w:numPr>
        <w:spacing w:after="0" w:line="240" w:lineRule="auto"/>
        <w:ind w:left="0" w:firstLine="0"/>
        <w:rPr>
          <w:rFonts w:asciiTheme="majorBidi" w:hAnsiTheme="majorBidi" w:cstheme="majorBidi"/>
          <w:b/>
          <w:bCs/>
          <w:sz w:val="28"/>
          <w:szCs w:val="28"/>
        </w:rPr>
      </w:pPr>
      <w:r>
        <w:rPr>
          <w:rFonts w:asciiTheme="majorBidi" w:hAnsiTheme="majorBidi" w:cstheme="majorBidi"/>
          <w:b/>
          <w:bCs/>
          <w:sz w:val="28"/>
          <w:szCs w:val="28"/>
        </w:rPr>
        <w:t>CONCLUSION</w:t>
      </w:r>
    </w:p>
    <w:p w:rsidR="00140324" w:rsidRPr="00950C34" w:rsidRDefault="001F6C17" w:rsidP="00A521DF">
      <w:pPr>
        <w:tabs>
          <w:tab w:val="left" w:pos="1382"/>
          <w:tab w:val="left" w:pos="7857"/>
        </w:tabs>
        <w:spacing w:after="0" w:line="240" w:lineRule="auto"/>
        <w:rPr>
          <w:rFonts w:asciiTheme="majorBidi" w:hAnsiTheme="majorBidi" w:cstheme="majorBidi"/>
        </w:rPr>
      </w:pPr>
      <w:r>
        <w:rPr>
          <w:rFonts w:asciiTheme="majorBidi" w:hAnsiTheme="majorBidi" w:cstheme="majorBidi"/>
        </w:rPr>
        <w:t>This study examined the causal relationship between</w:t>
      </w:r>
      <w:r w:rsidR="00140324" w:rsidRPr="00950C34">
        <w:rPr>
          <w:rFonts w:asciiTheme="majorBidi" w:hAnsiTheme="majorBidi" w:cstheme="majorBidi"/>
        </w:rPr>
        <w:t xml:space="preserve"> ICT development and economic growth in </w:t>
      </w:r>
      <w:r w:rsidR="00D849FB" w:rsidRPr="00950C34">
        <w:rPr>
          <w:rFonts w:asciiTheme="majorBidi" w:hAnsiTheme="majorBidi" w:cstheme="majorBidi"/>
        </w:rPr>
        <w:t>Iran based</w:t>
      </w:r>
      <w:r w:rsidR="00140324" w:rsidRPr="00950C34">
        <w:rPr>
          <w:rFonts w:asciiTheme="majorBidi" w:hAnsiTheme="majorBidi" w:cstheme="majorBidi"/>
        </w:rPr>
        <w:t xml:space="preserve"> </w:t>
      </w:r>
      <w:r w:rsidR="00D849FB" w:rsidRPr="00950C34">
        <w:rPr>
          <w:rFonts w:asciiTheme="majorBidi" w:hAnsiTheme="majorBidi" w:cstheme="majorBidi"/>
        </w:rPr>
        <w:t>on the</w:t>
      </w:r>
      <w:r w:rsidR="00140324" w:rsidRPr="00950C34">
        <w:rPr>
          <w:rFonts w:asciiTheme="majorBidi" w:hAnsiTheme="majorBidi" w:cstheme="majorBidi"/>
        </w:rPr>
        <w:t xml:space="preserve"> causal</w:t>
      </w:r>
      <w:r w:rsidR="00E707C2" w:rsidRPr="00950C34">
        <w:rPr>
          <w:rFonts w:asciiTheme="majorBidi" w:hAnsiTheme="majorBidi" w:cstheme="majorBidi"/>
        </w:rPr>
        <w:t>ity</w:t>
      </w:r>
      <w:r w:rsidR="00140324" w:rsidRPr="00950C34">
        <w:rPr>
          <w:rFonts w:asciiTheme="majorBidi" w:hAnsiTheme="majorBidi" w:cstheme="majorBidi"/>
        </w:rPr>
        <w:t xml:space="preserve"> </w:t>
      </w:r>
      <w:r w:rsidR="00E707C2" w:rsidRPr="00950C34">
        <w:rPr>
          <w:rFonts w:asciiTheme="majorBidi" w:hAnsiTheme="majorBidi" w:cstheme="majorBidi"/>
        </w:rPr>
        <w:t>analysis</w:t>
      </w:r>
      <w:r w:rsidR="00140324" w:rsidRPr="00950C34">
        <w:rPr>
          <w:rFonts w:asciiTheme="majorBidi" w:hAnsiTheme="majorBidi" w:cstheme="majorBidi"/>
        </w:rPr>
        <w:t xml:space="preserve"> </w:t>
      </w:r>
      <w:r w:rsidR="00E707C2" w:rsidRPr="00950C34">
        <w:rPr>
          <w:rFonts w:asciiTheme="majorBidi" w:hAnsiTheme="majorBidi" w:cstheme="majorBidi"/>
        </w:rPr>
        <w:t>among</w:t>
      </w:r>
      <w:r w:rsidR="00140324" w:rsidRPr="00950C34">
        <w:rPr>
          <w:rFonts w:asciiTheme="majorBidi" w:hAnsiTheme="majorBidi" w:cstheme="majorBidi"/>
        </w:rPr>
        <w:t xml:space="preserve"> natural logarithms of real </w:t>
      </w:r>
      <w:r w:rsidR="004D375D" w:rsidRPr="00950C34">
        <w:rPr>
          <w:rFonts w:asciiTheme="majorBidi" w:hAnsiTheme="majorBidi" w:cstheme="majorBidi"/>
        </w:rPr>
        <w:t>GDP and</w:t>
      </w:r>
      <w:r w:rsidR="00140324" w:rsidRPr="00950C34">
        <w:rPr>
          <w:rFonts w:asciiTheme="majorBidi" w:hAnsiTheme="majorBidi" w:cstheme="majorBidi"/>
        </w:rPr>
        <w:t xml:space="preserve"> Teledencity by </w:t>
      </w:r>
      <w:r w:rsidR="008905E2" w:rsidRPr="00950C34">
        <w:rPr>
          <w:rFonts w:asciiTheme="majorBidi" w:hAnsiTheme="majorBidi" w:cstheme="majorBidi"/>
        </w:rPr>
        <w:t xml:space="preserve">cointegration </w:t>
      </w:r>
      <w:r w:rsidR="00A521DF">
        <w:rPr>
          <w:rFonts w:asciiTheme="majorBidi" w:hAnsiTheme="majorBidi" w:cstheme="majorBidi"/>
        </w:rPr>
        <w:t xml:space="preserve">and </w:t>
      </w:r>
      <w:r w:rsidR="008905E2">
        <w:rPr>
          <w:rFonts w:asciiTheme="majorBidi" w:hAnsiTheme="majorBidi" w:cstheme="majorBidi"/>
        </w:rPr>
        <w:t>e</w:t>
      </w:r>
      <w:r w:rsidR="00140324" w:rsidRPr="00950C34">
        <w:rPr>
          <w:rFonts w:asciiTheme="majorBidi" w:hAnsiTheme="majorBidi" w:cstheme="majorBidi"/>
        </w:rPr>
        <w:t>rror-</w:t>
      </w:r>
      <w:r w:rsidR="008905E2">
        <w:rPr>
          <w:rFonts w:asciiTheme="majorBidi" w:hAnsiTheme="majorBidi" w:cstheme="majorBidi"/>
        </w:rPr>
        <w:t>c</w:t>
      </w:r>
      <w:r w:rsidR="00A521DF">
        <w:rPr>
          <w:rFonts w:asciiTheme="majorBidi" w:hAnsiTheme="majorBidi" w:cstheme="majorBidi"/>
        </w:rPr>
        <w:t xml:space="preserve">orrection </w:t>
      </w:r>
      <w:r w:rsidR="008905E2">
        <w:rPr>
          <w:rFonts w:asciiTheme="majorBidi" w:hAnsiTheme="majorBidi" w:cstheme="majorBidi"/>
        </w:rPr>
        <w:t>m</w:t>
      </w:r>
      <w:r w:rsidR="00140324" w:rsidRPr="00950C34">
        <w:rPr>
          <w:rFonts w:asciiTheme="majorBidi" w:hAnsiTheme="majorBidi" w:cstheme="majorBidi"/>
        </w:rPr>
        <w:t>odeling</w:t>
      </w:r>
      <w:r w:rsidR="008905E2">
        <w:rPr>
          <w:rFonts w:asciiTheme="majorBidi" w:hAnsiTheme="majorBidi" w:cstheme="majorBidi"/>
        </w:rPr>
        <w:t xml:space="preserve"> techniques</w:t>
      </w:r>
      <w:r w:rsidR="008905E2" w:rsidRPr="008905E2">
        <w:rPr>
          <w:rFonts w:asciiTheme="majorBidi" w:hAnsiTheme="majorBidi" w:cstheme="majorBidi"/>
        </w:rPr>
        <w:t xml:space="preserve"> </w:t>
      </w:r>
      <w:r w:rsidR="008905E2" w:rsidRPr="00950C34">
        <w:rPr>
          <w:rFonts w:asciiTheme="majorBidi" w:hAnsiTheme="majorBidi" w:cstheme="majorBidi"/>
        </w:rPr>
        <w:t xml:space="preserve">over the period </w:t>
      </w:r>
      <w:r w:rsidR="008905E2">
        <w:rPr>
          <w:rFonts w:asciiTheme="majorBidi" w:hAnsiTheme="majorBidi" w:cstheme="majorBidi"/>
        </w:rPr>
        <w:t>of 1975 to 2009.</w:t>
      </w:r>
    </w:p>
    <w:p w:rsidR="00140324" w:rsidRPr="00950C34" w:rsidRDefault="00D26F5A" w:rsidP="00D26F5A">
      <w:pPr>
        <w:tabs>
          <w:tab w:val="left" w:pos="1382"/>
          <w:tab w:val="left" w:pos="7857"/>
        </w:tabs>
        <w:spacing w:after="0" w:line="240" w:lineRule="auto"/>
        <w:rPr>
          <w:rFonts w:asciiTheme="majorBidi" w:hAnsiTheme="majorBidi" w:cstheme="majorBidi"/>
        </w:rPr>
      </w:pPr>
      <w:r w:rsidRPr="00D26F5A">
        <w:rPr>
          <w:rFonts w:asciiTheme="majorBidi" w:hAnsiTheme="majorBidi" w:cstheme="majorBidi"/>
        </w:rPr>
        <w:t xml:space="preserve">The overall result of estimation indicates that </w:t>
      </w:r>
      <w:r>
        <w:rPr>
          <w:rFonts w:asciiTheme="majorBidi" w:hAnsiTheme="majorBidi" w:cstheme="majorBidi"/>
        </w:rPr>
        <w:t>there is</w:t>
      </w:r>
      <w:r w:rsidR="00140324" w:rsidRPr="00950C34">
        <w:rPr>
          <w:rFonts w:asciiTheme="majorBidi" w:hAnsiTheme="majorBidi" w:cstheme="majorBidi"/>
        </w:rPr>
        <w:t xml:space="preserve"> a one-way causal relationship from </w:t>
      </w:r>
      <w:r w:rsidR="00E707C2" w:rsidRPr="00950C34">
        <w:rPr>
          <w:rFonts w:asciiTheme="majorBidi" w:hAnsiTheme="majorBidi" w:cstheme="majorBidi"/>
        </w:rPr>
        <w:t xml:space="preserve">Teledencity </w:t>
      </w:r>
      <w:r w:rsidR="00140324" w:rsidRPr="00950C34">
        <w:rPr>
          <w:rFonts w:asciiTheme="majorBidi" w:hAnsiTheme="majorBidi" w:cstheme="majorBidi"/>
        </w:rPr>
        <w:t xml:space="preserve">to </w:t>
      </w:r>
      <w:r w:rsidR="00E707C2" w:rsidRPr="00950C34">
        <w:rPr>
          <w:rFonts w:asciiTheme="majorBidi" w:hAnsiTheme="majorBidi" w:cstheme="majorBidi"/>
        </w:rPr>
        <w:t xml:space="preserve">Real GDP </w:t>
      </w:r>
      <w:r w:rsidR="00140324" w:rsidRPr="00950C34">
        <w:rPr>
          <w:rFonts w:asciiTheme="majorBidi" w:hAnsiTheme="majorBidi" w:cstheme="majorBidi"/>
        </w:rPr>
        <w:t xml:space="preserve">in the long-run </w:t>
      </w:r>
      <w:r w:rsidRPr="00950C34">
        <w:rPr>
          <w:rFonts w:asciiTheme="majorBidi" w:hAnsiTheme="majorBidi" w:cstheme="majorBidi"/>
        </w:rPr>
        <w:t xml:space="preserve">while the reverse does not hold </w:t>
      </w:r>
      <w:r w:rsidR="00140324" w:rsidRPr="00950C34">
        <w:rPr>
          <w:rFonts w:asciiTheme="majorBidi" w:hAnsiTheme="majorBidi" w:cstheme="majorBidi"/>
        </w:rPr>
        <w:t>and ICT is relatively ex</w:t>
      </w:r>
      <w:r>
        <w:rPr>
          <w:rFonts w:asciiTheme="majorBidi" w:hAnsiTheme="majorBidi" w:cstheme="majorBidi"/>
        </w:rPr>
        <w:t>ogenous. However, the results did</w:t>
      </w:r>
      <w:r w:rsidR="00140324" w:rsidRPr="00950C34">
        <w:rPr>
          <w:rFonts w:asciiTheme="majorBidi" w:hAnsiTheme="majorBidi" w:cstheme="majorBidi"/>
        </w:rPr>
        <w:t xml:space="preserve"> not support the null hypothesis </w:t>
      </w:r>
      <w:r w:rsidR="00E707C2" w:rsidRPr="00950C34">
        <w:rPr>
          <w:rFonts w:asciiTheme="majorBidi" w:hAnsiTheme="majorBidi" w:cstheme="majorBidi"/>
        </w:rPr>
        <w:t>regarding no</w:t>
      </w:r>
      <w:r w:rsidR="00140324" w:rsidRPr="00950C34">
        <w:rPr>
          <w:rFonts w:asciiTheme="majorBidi" w:hAnsiTheme="majorBidi" w:cstheme="majorBidi"/>
        </w:rPr>
        <w:t xml:space="preserve"> causation at both way of directional in the short-run.</w:t>
      </w:r>
    </w:p>
    <w:p w:rsidR="00140324" w:rsidRPr="00950C34" w:rsidRDefault="00CA3DAD" w:rsidP="00CA3DAD">
      <w:pPr>
        <w:tabs>
          <w:tab w:val="left" w:pos="1382"/>
          <w:tab w:val="left" w:pos="7857"/>
        </w:tabs>
        <w:spacing w:after="0" w:line="240" w:lineRule="auto"/>
        <w:rPr>
          <w:rFonts w:asciiTheme="majorBidi" w:hAnsiTheme="majorBidi" w:cstheme="majorBidi"/>
        </w:rPr>
      </w:pPr>
      <w:r>
        <w:rPr>
          <w:rFonts w:asciiTheme="majorBidi" w:hAnsiTheme="majorBidi" w:cstheme="majorBidi"/>
        </w:rPr>
        <w:t>These</w:t>
      </w:r>
      <w:r w:rsidR="00D26F5A" w:rsidRPr="00950C34">
        <w:rPr>
          <w:rFonts w:asciiTheme="majorBidi" w:hAnsiTheme="majorBidi" w:cstheme="majorBidi"/>
        </w:rPr>
        <w:t xml:space="preserve"> </w:t>
      </w:r>
      <w:r w:rsidR="00D26F5A">
        <w:rPr>
          <w:rFonts w:asciiTheme="majorBidi" w:hAnsiTheme="majorBidi" w:cstheme="majorBidi"/>
        </w:rPr>
        <w:t>finding</w:t>
      </w:r>
      <w:r>
        <w:rPr>
          <w:rFonts w:asciiTheme="majorBidi" w:hAnsiTheme="majorBidi" w:cstheme="majorBidi"/>
        </w:rPr>
        <w:t>s address</w:t>
      </w:r>
      <w:r w:rsidR="00140324" w:rsidRPr="00950C34">
        <w:rPr>
          <w:rFonts w:asciiTheme="majorBidi" w:hAnsiTheme="majorBidi" w:cstheme="majorBidi"/>
        </w:rPr>
        <w:t xml:space="preserve"> the problem of reverse causality</w:t>
      </w:r>
      <w:r w:rsidR="004D33D9">
        <w:rPr>
          <w:rFonts w:asciiTheme="majorBidi" w:hAnsiTheme="majorBidi" w:cstheme="majorBidi"/>
        </w:rPr>
        <w:t xml:space="preserve"> in </w:t>
      </w:r>
      <w:r w:rsidR="00162E74">
        <w:rPr>
          <w:rFonts w:asciiTheme="majorBidi" w:hAnsiTheme="majorBidi" w:cstheme="majorBidi"/>
        </w:rPr>
        <w:t>Iran economy while</w:t>
      </w:r>
      <w:r w:rsidR="00140324" w:rsidRPr="00950C34">
        <w:rPr>
          <w:rFonts w:asciiTheme="majorBidi" w:hAnsiTheme="majorBidi" w:cstheme="majorBidi"/>
        </w:rPr>
        <w:t xml:space="preserve"> </w:t>
      </w:r>
      <w:r w:rsidR="004D33D9">
        <w:rPr>
          <w:rFonts w:asciiTheme="majorBidi" w:hAnsiTheme="majorBidi" w:cstheme="majorBidi"/>
        </w:rPr>
        <w:t>t</w:t>
      </w:r>
      <w:r w:rsidR="00140324" w:rsidRPr="00950C34">
        <w:rPr>
          <w:rFonts w:asciiTheme="majorBidi" w:hAnsiTheme="majorBidi" w:cstheme="majorBidi"/>
        </w:rPr>
        <w:t>his feedback relationship seems to be supported by the empirical evidence available</w:t>
      </w:r>
      <w:r w:rsidR="00162E74" w:rsidRPr="00162E74">
        <w:rPr>
          <w:rFonts w:asciiTheme="majorBidi" w:hAnsiTheme="majorBidi" w:cstheme="majorBidi"/>
        </w:rPr>
        <w:t xml:space="preserve"> </w:t>
      </w:r>
      <w:r w:rsidR="00162E74">
        <w:rPr>
          <w:rFonts w:asciiTheme="majorBidi" w:hAnsiTheme="majorBidi" w:cstheme="majorBidi"/>
        </w:rPr>
        <w:t>in context of the developed economy</w:t>
      </w:r>
      <w:r w:rsidR="00140324" w:rsidRPr="00950C34">
        <w:rPr>
          <w:rFonts w:asciiTheme="majorBidi" w:hAnsiTheme="majorBidi" w:cstheme="majorBidi"/>
        </w:rPr>
        <w:t>.</w:t>
      </w:r>
      <w:r w:rsidR="00162E74">
        <w:rPr>
          <w:rFonts w:asciiTheme="majorBidi" w:hAnsiTheme="majorBidi" w:cstheme="majorBidi"/>
        </w:rPr>
        <w:t xml:space="preserve"> </w:t>
      </w:r>
      <w:r w:rsidR="00140324" w:rsidRPr="00950C34">
        <w:rPr>
          <w:rFonts w:asciiTheme="majorBidi" w:hAnsiTheme="majorBidi" w:cstheme="majorBidi"/>
        </w:rPr>
        <w:t xml:space="preserve">Besides the reverse causality issue, </w:t>
      </w:r>
      <w:r w:rsidR="00D26F5A" w:rsidRPr="00950C34">
        <w:rPr>
          <w:rFonts w:asciiTheme="majorBidi" w:hAnsiTheme="majorBidi" w:cstheme="majorBidi"/>
        </w:rPr>
        <w:t>an</w:t>
      </w:r>
      <w:r w:rsidR="00140324" w:rsidRPr="00950C34">
        <w:rPr>
          <w:rFonts w:asciiTheme="majorBidi" w:hAnsiTheme="majorBidi" w:cstheme="majorBidi"/>
        </w:rPr>
        <w:t xml:space="preserve"> underdevelopment of other complementary factors may be a possible reason for a lack of causality in short-run. This implies that an improvement in telecommunications infrastructure alone is not sufficient for stimulating growth. </w:t>
      </w:r>
      <w:r w:rsidR="004D375D" w:rsidRPr="00950C34">
        <w:rPr>
          <w:rFonts w:asciiTheme="majorBidi" w:hAnsiTheme="majorBidi" w:cstheme="majorBidi"/>
        </w:rPr>
        <w:t>It</w:t>
      </w:r>
      <w:r w:rsidR="00140324" w:rsidRPr="00950C34">
        <w:rPr>
          <w:rFonts w:asciiTheme="majorBidi" w:hAnsiTheme="majorBidi" w:cstheme="majorBidi"/>
        </w:rPr>
        <w:t xml:space="preserve"> is important to keep in mind the fact that economic growth involves very complex relationships among many variables.</w:t>
      </w:r>
    </w:p>
    <w:p w:rsidR="006D58C2" w:rsidRDefault="00162E74" w:rsidP="008D3577">
      <w:pPr>
        <w:tabs>
          <w:tab w:val="left" w:pos="1382"/>
          <w:tab w:val="left" w:pos="7857"/>
        </w:tabs>
        <w:spacing w:after="0" w:line="240" w:lineRule="auto"/>
        <w:rPr>
          <w:rFonts w:asciiTheme="majorBidi" w:hAnsiTheme="majorBidi" w:cstheme="majorBidi"/>
        </w:rPr>
      </w:pPr>
      <w:r>
        <w:rPr>
          <w:rFonts w:asciiTheme="majorBidi" w:hAnsiTheme="majorBidi" w:cstheme="majorBidi"/>
        </w:rPr>
        <w:t xml:space="preserve">In terms of policy making, </w:t>
      </w:r>
      <w:r w:rsidRPr="00950C34">
        <w:rPr>
          <w:rFonts w:asciiTheme="majorBidi" w:hAnsiTheme="majorBidi" w:cstheme="majorBidi"/>
        </w:rPr>
        <w:t>based</w:t>
      </w:r>
      <w:r w:rsidR="00140324" w:rsidRPr="00950C34">
        <w:rPr>
          <w:rFonts w:asciiTheme="majorBidi" w:hAnsiTheme="majorBidi" w:cstheme="majorBidi"/>
        </w:rPr>
        <w:t xml:space="preserve"> on the results of this study</w:t>
      </w:r>
      <w:r w:rsidR="004D375D">
        <w:rPr>
          <w:rFonts w:asciiTheme="majorBidi" w:hAnsiTheme="majorBidi" w:cstheme="majorBidi"/>
        </w:rPr>
        <w:t xml:space="preserve"> that </w:t>
      </w:r>
      <w:r w:rsidR="004D375D" w:rsidRPr="00950C34">
        <w:rPr>
          <w:rFonts w:asciiTheme="majorBidi" w:hAnsiTheme="majorBidi" w:cstheme="majorBidi"/>
        </w:rPr>
        <w:t xml:space="preserve">empirical evidence supports causality running form ICT infrastructure to economic growth in </w:t>
      </w:r>
      <w:r w:rsidR="004D375D">
        <w:rPr>
          <w:rFonts w:asciiTheme="majorBidi" w:hAnsiTheme="majorBidi" w:cstheme="majorBidi"/>
        </w:rPr>
        <w:t>long run,</w:t>
      </w:r>
      <w:r w:rsidR="004D375D" w:rsidRPr="00950C34">
        <w:rPr>
          <w:rFonts w:asciiTheme="majorBidi" w:hAnsiTheme="majorBidi" w:cstheme="majorBidi"/>
        </w:rPr>
        <w:t xml:space="preserve"> the</w:t>
      </w:r>
      <w:r w:rsidR="006D58C2">
        <w:rPr>
          <w:rFonts w:asciiTheme="majorBidi" w:hAnsiTheme="majorBidi" w:cstheme="majorBidi"/>
        </w:rPr>
        <w:t xml:space="preserve"> more</w:t>
      </w:r>
      <w:r w:rsidR="004D375D" w:rsidRPr="00950C34">
        <w:rPr>
          <w:rFonts w:asciiTheme="majorBidi" w:hAnsiTheme="majorBidi" w:cstheme="majorBidi"/>
        </w:rPr>
        <w:t xml:space="preserve"> resources should be allocated to ICT-industry sector.</w:t>
      </w:r>
      <w:r w:rsidR="006D58C2">
        <w:rPr>
          <w:rFonts w:asciiTheme="majorBidi" w:hAnsiTheme="majorBidi" w:cstheme="majorBidi"/>
        </w:rPr>
        <w:t xml:space="preserve"> </w:t>
      </w:r>
      <w:r w:rsidR="006D58C2" w:rsidRPr="00950C34">
        <w:rPr>
          <w:rFonts w:asciiTheme="majorBidi" w:hAnsiTheme="majorBidi" w:cstheme="majorBidi"/>
        </w:rPr>
        <w:t>On the other hand</w:t>
      </w:r>
      <w:r w:rsidR="00CA3DAD">
        <w:rPr>
          <w:rFonts w:asciiTheme="majorBidi" w:hAnsiTheme="majorBidi" w:cstheme="majorBidi"/>
        </w:rPr>
        <w:t>,</w:t>
      </w:r>
      <w:r w:rsidR="006D58C2" w:rsidRPr="00950C34">
        <w:rPr>
          <w:rFonts w:asciiTheme="majorBidi" w:hAnsiTheme="majorBidi" w:cstheme="majorBidi"/>
        </w:rPr>
        <w:t xml:space="preserve"> promoting ICT-use and creating the environmental conditions to supp</w:t>
      </w:r>
      <w:r w:rsidR="008D3577">
        <w:rPr>
          <w:rFonts w:asciiTheme="majorBidi" w:hAnsiTheme="majorBidi" w:cstheme="majorBidi"/>
        </w:rPr>
        <w:t>ort</w:t>
      </w:r>
      <w:r w:rsidR="006D58C2">
        <w:rPr>
          <w:rFonts w:asciiTheme="majorBidi" w:hAnsiTheme="majorBidi" w:cstheme="majorBidi"/>
        </w:rPr>
        <w:t xml:space="preserve"> effective use of ICT </w:t>
      </w:r>
      <w:r w:rsidR="008D3577">
        <w:rPr>
          <w:rFonts w:asciiTheme="majorBidi" w:hAnsiTheme="majorBidi" w:cstheme="majorBidi"/>
        </w:rPr>
        <w:t xml:space="preserve">can </w:t>
      </w:r>
      <w:r w:rsidR="006D58C2" w:rsidRPr="00950C34">
        <w:rPr>
          <w:rFonts w:asciiTheme="majorBidi" w:hAnsiTheme="majorBidi" w:cstheme="majorBidi"/>
        </w:rPr>
        <w:t xml:space="preserve">likely solve the reverse causality or </w:t>
      </w:r>
      <w:r w:rsidR="008D3577">
        <w:rPr>
          <w:rFonts w:asciiTheme="majorBidi" w:hAnsiTheme="majorBidi" w:cstheme="majorBidi"/>
        </w:rPr>
        <w:t xml:space="preserve">this </w:t>
      </w:r>
      <w:r w:rsidR="006D58C2" w:rsidRPr="00950C34">
        <w:rPr>
          <w:rFonts w:asciiTheme="majorBidi" w:hAnsiTheme="majorBidi" w:cstheme="majorBidi"/>
        </w:rPr>
        <w:t>feedback problem in Iran economy.</w:t>
      </w:r>
    </w:p>
    <w:p w:rsidR="002E1862" w:rsidRPr="00950C34" w:rsidRDefault="002E1862" w:rsidP="008D3577">
      <w:pPr>
        <w:tabs>
          <w:tab w:val="left" w:pos="1382"/>
          <w:tab w:val="left" w:pos="7857"/>
        </w:tabs>
        <w:spacing w:after="0" w:line="240" w:lineRule="auto"/>
        <w:rPr>
          <w:rFonts w:asciiTheme="majorBidi" w:hAnsiTheme="majorBidi" w:cstheme="majorBidi"/>
        </w:rPr>
      </w:pPr>
    </w:p>
    <w:p w:rsidR="0001400F" w:rsidRDefault="0001400F" w:rsidP="00F33BC8">
      <w:pPr>
        <w:tabs>
          <w:tab w:val="left" w:pos="1382"/>
          <w:tab w:val="left" w:pos="7857"/>
        </w:tabs>
        <w:spacing w:after="0" w:line="240" w:lineRule="auto"/>
        <w:rPr>
          <w:rFonts w:asciiTheme="majorBidi" w:hAnsiTheme="majorBidi" w:cstheme="majorBidi"/>
        </w:rPr>
      </w:pPr>
    </w:p>
    <w:p w:rsidR="00285DC5" w:rsidRPr="00950C34" w:rsidRDefault="00285DC5" w:rsidP="00F33BC8">
      <w:pPr>
        <w:spacing w:after="0" w:line="240" w:lineRule="auto"/>
        <w:ind w:left="360" w:hanging="360"/>
        <w:outlineLvl w:val="0"/>
        <w:rPr>
          <w:rFonts w:asciiTheme="majorBidi" w:hAnsiTheme="majorBidi" w:cstheme="majorBidi"/>
          <w:b/>
          <w:bCs/>
          <w:sz w:val="24"/>
          <w:szCs w:val="24"/>
        </w:rPr>
      </w:pPr>
      <w:r w:rsidRPr="00950C34">
        <w:rPr>
          <w:rFonts w:asciiTheme="majorBidi" w:hAnsiTheme="majorBidi" w:cstheme="majorBidi"/>
          <w:b/>
          <w:bCs/>
          <w:sz w:val="24"/>
          <w:szCs w:val="24"/>
        </w:rPr>
        <w:t>References:</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Armstrong, P., Harchaoui, T., Jackson, C., &amp; Tarkhani, F. (2002). A Comparison of Canada-U.S. Economic Growth in the Information Age, 1981–2000: The Importance of Investment in Information and Communication Technologies. </w:t>
      </w:r>
      <w:r w:rsidRPr="00950C34">
        <w:rPr>
          <w:rFonts w:asciiTheme="majorBidi" w:hAnsiTheme="majorBidi" w:cstheme="majorBidi"/>
          <w:i/>
        </w:rPr>
        <w:t>Statistics Canada</w:t>
      </w:r>
      <w:r w:rsidRPr="00950C34">
        <w:rPr>
          <w:rFonts w:asciiTheme="majorBidi" w:hAnsiTheme="majorBidi" w:cstheme="majorBidi"/>
        </w:rPr>
        <w:t xml:space="preserve">, </w:t>
      </w:r>
      <w:r w:rsidRPr="00950C34">
        <w:rPr>
          <w:rFonts w:asciiTheme="majorBidi" w:hAnsiTheme="majorBidi" w:cstheme="majorBidi"/>
          <w:i/>
        </w:rPr>
        <w:t>Analytical Studies Branch.</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Avgerou, C. (1998). How Can IT Enable Economic Growth in Developing Countries? </w:t>
      </w:r>
      <w:r w:rsidRPr="00950C34">
        <w:rPr>
          <w:rFonts w:asciiTheme="majorBidi" w:hAnsiTheme="majorBidi" w:cstheme="majorBidi"/>
          <w:i/>
        </w:rPr>
        <w:t>Information Technology for Development, Vol. 8 ( 1),</w:t>
      </w:r>
      <w:r w:rsidRPr="00950C34">
        <w:rPr>
          <w:rFonts w:asciiTheme="majorBidi" w:hAnsiTheme="majorBidi" w:cstheme="majorBidi"/>
        </w:rPr>
        <w:t xml:space="preserve"> 15.</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lastRenderedPageBreak/>
        <w:t xml:space="preserve">Baily, M., Lawrence, R. (2001). Do we have a new E-Conomy? </w:t>
      </w:r>
      <w:r w:rsidRPr="00950C34">
        <w:rPr>
          <w:rFonts w:asciiTheme="majorBidi" w:hAnsiTheme="majorBidi" w:cstheme="majorBidi"/>
          <w:i/>
        </w:rPr>
        <w:t>American Economic Review 91,</w:t>
      </w:r>
      <w:r w:rsidRPr="00950C34">
        <w:rPr>
          <w:rFonts w:asciiTheme="majorBidi" w:hAnsiTheme="majorBidi" w:cstheme="majorBidi"/>
        </w:rPr>
        <w:t xml:space="preserve"> 308–312.</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Basu, S., &amp; Fernald, J. (2007). Information and Communications Technology as a General-Purpose Technology: Evidence from U.S. Industry Data. </w:t>
      </w:r>
      <w:r w:rsidRPr="00950C34">
        <w:rPr>
          <w:rFonts w:asciiTheme="majorBidi" w:hAnsiTheme="majorBidi" w:cstheme="majorBidi"/>
          <w:i/>
        </w:rPr>
        <w:t xml:space="preserve">German Economic Review, 8 </w:t>
      </w:r>
      <w:r w:rsidRPr="00950C34">
        <w:rPr>
          <w:rFonts w:asciiTheme="majorBidi" w:hAnsiTheme="majorBidi" w:cstheme="majorBidi"/>
        </w:rPr>
        <w:t>(5), 146 –173.</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Cette, G., Kokoglu, Y., &amp; Mairesse, J. (2000). The Diffusion of Information and Communication Technologies in France: Measurement and Contribution to Growth and Productivity. </w:t>
      </w:r>
      <w:r w:rsidRPr="00950C34">
        <w:rPr>
          <w:rFonts w:asciiTheme="majorBidi" w:hAnsiTheme="majorBidi" w:cstheme="majorBidi"/>
          <w:i/>
        </w:rPr>
        <w:t>Economie and Statistique</w:t>
      </w:r>
      <w:r w:rsidRPr="00950C34">
        <w:rPr>
          <w:rFonts w:asciiTheme="majorBidi" w:hAnsiTheme="majorBidi" w:cstheme="majorBidi"/>
        </w:rPr>
        <w:t>, 339-340.</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Chakraborty, C., &amp; Nandi, B. (2003). Privatization, telecommunications and growth in selected Asian countries: An econometric analysis. </w:t>
      </w:r>
      <w:r w:rsidRPr="00950C34">
        <w:rPr>
          <w:rFonts w:asciiTheme="majorBidi" w:hAnsiTheme="majorBidi" w:cstheme="majorBidi"/>
          <w:i/>
        </w:rPr>
        <w:t>Communications and Strategies, 52,</w:t>
      </w:r>
      <w:r w:rsidRPr="00950C34">
        <w:rPr>
          <w:rFonts w:asciiTheme="majorBidi" w:hAnsiTheme="majorBidi" w:cstheme="majorBidi"/>
        </w:rPr>
        <w:t xml:space="preserve"> 31–47.</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Cieslik, A., &amp; Kaniewsk, M. (2004). Telecommunications infrastructure and regional economic development: the case of Poland. </w:t>
      </w:r>
      <w:r w:rsidRPr="00950C34">
        <w:rPr>
          <w:rFonts w:asciiTheme="majorBidi" w:hAnsiTheme="majorBidi" w:cstheme="majorBidi"/>
          <w:i/>
        </w:rPr>
        <w:t>Regional Studies 38,</w:t>
      </w:r>
      <w:r w:rsidRPr="00950C34">
        <w:rPr>
          <w:rFonts w:asciiTheme="majorBidi" w:hAnsiTheme="majorBidi" w:cstheme="majorBidi"/>
        </w:rPr>
        <w:t xml:space="preserve"> 713–725.</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Colecchia, A., &amp; Schreyer,P. (2001). The impact of information communications technology on output growth. </w:t>
      </w:r>
      <w:r w:rsidRPr="00950C34">
        <w:rPr>
          <w:rFonts w:asciiTheme="majorBidi" w:hAnsiTheme="majorBidi" w:cstheme="majorBidi"/>
          <w:i/>
        </w:rPr>
        <w:t>STI Working Paper 7.</w:t>
      </w:r>
      <w:r w:rsidRPr="00950C34">
        <w:rPr>
          <w:rFonts w:asciiTheme="majorBidi" w:hAnsiTheme="majorBidi" w:cstheme="majorBidi"/>
        </w:rPr>
        <w:t xml:space="preserve"> </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Cronin, F.J., Colleran, E.K., Herbert ,P.L., &amp; Lewitzky, S. (1993). Telecommunications and growth: The contribution of telecommunications infrastructure investment to aggregate and sectoral productivity. </w:t>
      </w:r>
      <w:r w:rsidRPr="00950C34">
        <w:rPr>
          <w:rFonts w:asciiTheme="majorBidi" w:hAnsiTheme="majorBidi" w:cstheme="majorBidi"/>
          <w:i/>
        </w:rPr>
        <w:t>Telecommunications Policy, 17,</w:t>
      </w:r>
      <w:r w:rsidRPr="00950C34">
        <w:rPr>
          <w:rFonts w:asciiTheme="majorBidi" w:hAnsiTheme="majorBidi" w:cstheme="majorBidi"/>
        </w:rPr>
        <w:t xml:space="preserve"> 677–690.</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Cronin, F.J., Parker, E.B., Colleran, E.K., &amp; Gold, M.A. (1991). Telecommunications infrastructure and economic growth: Ananalysis of causality. </w:t>
      </w:r>
      <w:r w:rsidRPr="00950C34">
        <w:rPr>
          <w:rFonts w:asciiTheme="majorBidi" w:hAnsiTheme="majorBidi" w:cstheme="majorBidi"/>
          <w:i/>
        </w:rPr>
        <w:t>Telecommunications Policy, 15,</w:t>
      </w:r>
      <w:r w:rsidRPr="00950C34">
        <w:rPr>
          <w:rFonts w:asciiTheme="majorBidi" w:hAnsiTheme="majorBidi" w:cstheme="majorBidi"/>
        </w:rPr>
        <w:t xml:space="preserve"> 529–535.</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Cronin, F.J., Parker, E.B., Colleran, E.K., &amp; Gold, M.A. (1993). Telecommunications infrastructure investment and economic development. </w:t>
      </w:r>
      <w:r w:rsidRPr="00950C34">
        <w:rPr>
          <w:rFonts w:asciiTheme="majorBidi" w:hAnsiTheme="majorBidi" w:cstheme="majorBidi"/>
          <w:i/>
        </w:rPr>
        <w:t>Telecommunications Policy, 17,</w:t>
      </w:r>
      <w:r w:rsidRPr="00950C34">
        <w:rPr>
          <w:rFonts w:asciiTheme="majorBidi" w:hAnsiTheme="majorBidi" w:cstheme="majorBidi"/>
        </w:rPr>
        <w:t xml:space="preserve"> 415–430.</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Datta, P., &amp; Mbarika, V. (2006). A global investigation of granger causality between nformation infrastructure investment and service</w:t>
      </w:r>
      <w:r w:rsidRPr="00950C34">
        <w:rPr>
          <w:rFonts w:ascii="Cambria Math" w:hAnsi="Cambria Math" w:cstheme="majorBidi"/>
        </w:rPr>
        <w:t>‐</w:t>
      </w:r>
      <w:r w:rsidRPr="00950C34">
        <w:rPr>
          <w:rFonts w:asciiTheme="majorBidi" w:hAnsiTheme="majorBidi" w:cstheme="majorBidi"/>
        </w:rPr>
        <w:t xml:space="preserve">sector growth. </w:t>
      </w:r>
      <w:r w:rsidRPr="00950C34">
        <w:rPr>
          <w:rFonts w:asciiTheme="majorBidi" w:hAnsiTheme="majorBidi" w:cstheme="majorBidi"/>
          <w:i/>
        </w:rPr>
        <w:t>The Information Society, 22,</w:t>
      </w:r>
      <w:r w:rsidRPr="00950C34">
        <w:rPr>
          <w:rFonts w:asciiTheme="majorBidi" w:hAnsiTheme="majorBidi" w:cstheme="majorBidi"/>
        </w:rPr>
        <w:t xml:space="preserve"> 1–18.</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Davarinejad, M., &amp; Saffari M. (2008). </w:t>
      </w:r>
      <w:r w:rsidRPr="00950C34">
        <w:rPr>
          <w:rFonts w:asciiTheme="majorBidi" w:hAnsiTheme="majorBidi" w:cstheme="majorBidi"/>
          <w:i/>
        </w:rPr>
        <w:t>Iran.</w:t>
      </w:r>
      <w:r w:rsidRPr="00950C34">
        <w:rPr>
          <w:rFonts w:asciiTheme="majorBidi" w:hAnsiTheme="majorBidi" w:cstheme="majorBidi"/>
        </w:rPr>
        <w:t xml:space="preserve"> Digital Review of Asia Pacific (2007-2008). Retrieved from http://www.digital-review.org/.</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Davarinejad, M., &amp; Saffari M. (2010). </w:t>
      </w:r>
      <w:r w:rsidRPr="00950C34">
        <w:rPr>
          <w:rFonts w:asciiTheme="majorBidi" w:hAnsiTheme="majorBidi" w:cstheme="majorBidi"/>
          <w:i/>
        </w:rPr>
        <w:t>Iran.</w:t>
      </w:r>
      <w:r w:rsidRPr="00950C34">
        <w:rPr>
          <w:rFonts w:asciiTheme="majorBidi" w:hAnsiTheme="majorBidi" w:cstheme="majorBidi"/>
        </w:rPr>
        <w:t xml:space="preserve"> Digital Review of Asia Pacific (2009-2010).  Retrieved from http://www.digital-review.org/.</w:t>
      </w:r>
    </w:p>
    <w:p w:rsidR="00265C28" w:rsidRPr="00950C34" w:rsidRDefault="00265C28" w:rsidP="00F33BC8">
      <w:pPr>
        <w:spacing w:after="0" w:line="240" w:lineRule="auto"/>
        <w:ind w:left="360" w:hanging="360"/>
        <w:rPr>
          <w:rFonts w:asciiTheme="majorBidi" w:hAnsiTheme="majorBidi" w:cstheme="majorBidi"/>
          <w:color w:val="FF0000"/>
        </w:rPr>
      </w:pPr>
      <w:r w:rsidRPr="00950C34">
        <w:rPr>
          <w:rFonts w:asciiTheme="majorBidi" w:hAnsiTheme="majorBidi" w:cstheme="majorBidi"/>
        </w:rPr>
        <w:t xml:space="preserve">Daveri, F. (2000). Is Growth an Information Technology Story in Europe Too? </w:t>
      </w:r>
      <w:r w:rsidRPr="00950C34">
        <w:rPr>
          <w:rFonts w:asciiTheme="majorBidi" w:hAnsiTheme="majorBidi" w:cstheme="majorBidi"/>
          <w:i/>
        </w:rPr>
        <w:t>Economic Policy Research Unit (EPRU) Working Paper Series,</w:t>
      </w:r>
      <w:r w:rsidRPr="00950C34">
        <w:rPr>
          <w:rFonts w:asciiTheme="majorBidi" w:hAnsiTheme="majorBidi" w:cstheme="majorBidi"/>
        </w:rPr>
        <w:t xml:space="preserve"> Parma: Policy Research Unit, Department of Economics, University of Copenhagen.</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Daveri, F. (2002). The New Economy in Europe, 1992-2001. </w:t>
      </w:r>
      <w:r w:rsidRPr="00950C34">
        <w:rPr>
          <w:rFonts w:asciiTheme="majorBidi" w:hAnsiTheme="majorBidi" w:cstheme="majorBidi"/>
          <w:i/>
        </w:rPr>
        <w:t>Oxford Review of Economic Policy,</w:t>
      </w:r>
      <w:r w:rsidRPr="00950C34">
        <w:rPr>
          <w:rFonts w:asciiTheme="majorBidi" w:hAnsiTheme="majorBidi" w:cstheme="majorBidi"/>
        </w:rPr>
        <w:t xml:space="preserve"> 345-36</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Dewan, S., &amp; Kraemer, K.L. (2000). Information technology and productivity: preliminary evidence from country-level data. </w:t>
      </w:r>
      <w:r w:rsidRPr="00950C34">
        <w:rPr>
          <w:rFonts w:asciiTheme="majorBidi" w:hAnsiTheme="majorBidi" w:cstheme="majorBidi"/>
          <w:i/>
        </w:rPr>
        <w:t>Management Science, 46</w:t>
      </w:r>
      <w:r w:rsidRPr="00950C34">
        <w:rPr>
          <w:rFonts w:asciiTheme="majorBidi" w:hAnsiTheme="majorBidi" w:cstheme="majorBidi"/>
        </w:rPr>
        <w:t>(4), 548-562.</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Dickey, D., &amp; Fuller, W. (1979). Distribution of the Estimators for Autoregressive Time-Series with a Unit Root. </w:t>
      </w:r>
      <w:r w:rsidRPr="00950C34">
        <w:rPr>
          <w:rFonts w:asciiTheme="majorBidi" w:hAnsiTheme="majorBidi" w:cstheme="majorBidi"/>
          <w:i/>
        </w:rPr>
        <w:t xml:space="preserve">Journal of the American Statistical Association, 74, </w:t>
      </w:r>
      <w:r w:rsidRPr="00950C34">
        <w:rPr>
          <w:rFonts w:asciiTheme="majorBidi" w:hAnsiTheme="majorBidi" w:cstheme="majorBidi"/>
        </w:rPr>
        <w:t>427-431.</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Dutta, A. (2001). Telecommunications and economic activity: An analysis of Granger causality. </w:t>
      </w:r>
      <w:r w:rsidRPr="00950C34">
        <w:rPr>
          <w:rFonts w:asciiTheme="majorBidi" w:hAnsiTheme="majorBidi" w:cstheme="majorBidi"/>
          <w:i/>
        </w:rPr>
        <w:t>Journal of Management Information Systems, 17,</w:t>
      </w:r>
      <w:r w:rsidRPr="00950C34">
        <w:rPr>
          <w:rFonts w:asciiTheme="majorBidi" w:hAnsiTheme="majorBidi" w:cstheme="majorBidi"/>
        </w:rPr>
        <w:t xml:space="preserve"> 71–95.</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Gholami, R., Moshiri, S., &amp; Lee, S. (2004). ICT and productivity of the manufacturing industries in Iran. </w:t>
      </w:r>
      <w:r w:rsidRPr="00950C34">
        <w:rPr>
          <w:rFonts w:asciiTheme="majorBidi" w:hAnsiTheme="majorBidi" w:cstheme="majorBidi"/>
          <w:i/>
        </w:rPr>
        <w:t xml:space="preserve">The Electronic Journal of Information Systems in Developing Countries,19 </w:t>
      </w:r>
      <w:r w:rsidRPr="00950C34">
        <w:rPr>
          <w:rFonts w:asciiTheme="majorBidi" w:hAnsiTheme="majorBidi" w:cstheme="majorBidi"/>
        </w:rPr>
        <w:t>(4), 14.</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Grace J, Kenny C, Zhen-Wei Qiang, C. (2003). </w:t>
      </w:r>
      <w:r w:rsidRPr="00950C34">
        <w:rPr>
          <w:rFonts w:asciiTheme="majorBidi" w:hAnsiTheme="majorBidi" w:cstheme="majorBidi"/>
          <w:i/>
        </w:rPr>
        <w:t>Information and Communication Technologies and Broad Based Development: A Partial Review of the Evidence.</w:t>
      </w:r>
      <w:r w:rsidRPr="00950C34">
        <w:rPr>
          <w:rFonts w:asciiTheme="majorBidi" w:hAnsiTheme="majorBidi" w:cstheme="majorBidi"/>
        </w:rPr>
        <w:t xml:space="preserve"> (World Bank Working Paper, Technical Report. 12, 2003). Washington: World Bank.</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Granger, C.W.J. (1969). Investigating Causal Relations by Econometric Models and Cross Spectral Methods. </w:t>
      </w:r>
      <w:r w:rsidRPr="00950C34">
        <w:rPr>
          <w:rFonts w:asciiTheme="majorBidi" w:hAnsiTheme="majorBidi" w:cstheme="majorBidi"/>
          <w:i/>
        </w:rPr>
        <w:t xml:space="preserve">Econometrica 37, </w:t>
      </w:r>
      <w:r w:rsidRPr="00950C34">
        <w:rPr>
          <w:rFonts w:asciiTheme="majorBidi" w:hAnsiTheme="majorBidi" w:cstheme="majorBidi"/>
        </w:rPr>
        <w:t>424-438.</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Granger, C.W.J. (1986). Developments in the Study of Cointegrated Economic Variables. </w:t>
      </w:r>
      <w:r w:rsidRPr="00950C34">
        <w:rPr>
          <w:rFonts w:asciiTheme="majorBidi" w:hAnsiTheme="majorBidi" w:cstheme="majorBidi"/>
          <w:i/>
        </w:rPr>
        <w:t>Oxford Bulletin of Economics and Statistics 48</w:t>
      </w:r>
      <w:r w:rsidRPr="00950C34">
        <w:rPr>
          <w:rFonts w:asciiTheme="majorBidi" w:hAnsiTheme="majorBidi" w:cstheme="majorBidi"/>
        </w:rPr>
        <w:t>, 213-228.</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Granger, C.W.J. (1988). Some Recent Developments in a Concept of Causality. </w:t>
      </w:r>
      <w:r w:rsidRPr="00950C34">
        <w:rPr>
          <w:rFonts w:asciiTheme="majorBidi" w:hAnsiTheme="majorBidi" w:cstheme="majorBidi"/>
          <w:i/>
        </w:rPr>
        <w:t>Journal of Econometrics 39</w:t>
      </w:r>
      <w:r w:rsidRPr="00950C34">
        <w:rPr>
          <w:rFonts w:asciiTheme="majorBidi" w:hAnsiTheme="majorBidi" w:cstheme="majorBidi"/>
        </w:rPr>
        <w:t>, 199-211.</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Gretton, P., Gali, J. &amp; Parham, D. (2002). Uptake and Impacts of ICT in the Australian Economy: Evidence from Aggregate, Sectoral and Firm Levels. </w:t>
      </w:r>
      <w:r w:rsidRPr="00950C34">
        <w:rPr>
          <w:rFonts w:asciiTheme="majorBidi" w:hAnsiTheme="majorBidi" w:cstheme="majorBidi"/>
          <w:i/>
          <w:iCs/>
        </w:rPr>
        <w:t>paper presented at OECD Workshop on ICT and Business Performance, Productivity Commission,</w:t>
      </w:r>
      <w:r w:rsidRPr="00950C34">
        <w:rPr>
          <w:rFonts w:asciiTheme="majorBidi" w:hAnsiTheme="majorBidi" w:cstheme="majorBidi"/>
        </w:rPr>
        <w:t xml:space="preserve"> Canberra.</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lastRenderedPageBreak/>
        <w:t>International Telecommunications Union (ITU). (2011). World telecommunication/ICT indicators. Retrieved from http://www.itu.int/ITU-D/ict/statistics/index.html</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Jalava, J., &amp; Pohjola, M. (2002). Economic growth in the new economy: Evidence from advanced economies. </w:t>
      </w:r>
      <w:r w:rsidRPr="00950C34">
        <w:rPr>
          <w:rFonts w:asciiTheme="majorBidi" w:hAnsiTheme="majorBidi" w:cstheme="majorBidi"/>
          <w:i/>
        </w:rPr>
        <w:t>Information Economics and Policy, 14,</w:t>
      </w:r>
      <w:r w:rsidRPr="00950C34">
        <w:rPr>
          <w:rFonts w:asciiTheme="majorBidi" w:hAnsiTheme="majorBidi" w:cstheme="majorBidi"/>
        </w:rPr>
        <w:t xml:space="preserve"> 189–210.</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Johansen, S. (1988) Statistical Analysis of Cointegration Vectors, </w:t>
      </w:r>
      <w:r w:rsidRPr="00950C34">
        <w:rPr>
          <w:rFonts w:asciiTheme="majorBidi" w:hAnsiTheme="majorBidi" w:cstheme="majorBidi"/>
          <w:i/>
        </w:rPr>
        <w:t xml:space="preserve">Journal of Economic Dynamics and Control, 12, </w:t>
      </w:r>
      <w:r w:rsidRPr="00950C34">
        <w:rPr>
          <w:rFonts w:asciiTheme="majorBidi" w:hAnsiTheme="majorBidi" w:cstheme="majorBidi"/>
        </w:rPr>
        <w:t>231-254.</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Johansen, S., &amp; Juselius, K. (1990). Maximum Likelihood Estimation and Inference on Cointegration-With Applications to the Demand for Money. </w:t>
      </w:r>
      <w:r w:rsidRPr="00950C34">
        <w:rPr>
          <w:rFonts w:asciiTheme="majorBidi" w:hAnsiTheme="majorBidi" w:cstheme="majorBidi"/>
          <w:i/>
        </w:rPr>
        <w:t xml:space="preserve">Oxford Bulletin of Economics and Statistics 52, </w:t>
      </w:r>
      <w:r w:rsidRPr="00950C34">
        <w:rPr>
          <w:rFonts w:asciiTheme="majorBidi" w:hAnsiTheme="majorBidi" w:cstheme="majorBidi"/>
        </w:rPr>
        <w:t xml:space="preserve">169-210. </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Jorgenson, D.W. &amp; Stiroh, K.J. (1995). Computers and Growth. </w:t>
      </w:r>
      <w:r w:rsidRPr="00950C34">
        <w:rPr>
          <w:rFonts w:asciiTheme="majorBidi" w:hAnsiTheme="majorBidi" w:cstheme="majorBidi"/>
          <w:i/>
          <w:iCs/>
        </w:rPr>
        <w:t>Economics of Innovation and New Technology, 3</w:t>
      </w:r>
      <w:r w:rsidRPr="00950C34">
        <w:rPr>
          <w:rFonts w:asciiTheme="majorBidi" w:hAnsiTheme="majorBidi" w:cstheme="majorBidi"/>
        </w:rPr>
        <w:t>, 109-115.</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Jorgenson, D.W. (2001). Information technology and the US economy. </w:t>
      </w:r>
      <w:r w:rsidRPr="00950C34">
        <w:rPr>
          <w:rFonts w:asciiTheme="majorBidi" w:hAnsiTheme="majorBidi" w:cstheme="majorBidi"/>
          <w:i/>
          <w:iCs/>
        </w:rPr>
        <w:t>The American Economic Review, 91</w:t>
      </w:r>
      <w:r w:rsidRPr="00950C34">
        <w:rPr>
          <w:rFonts w:asciiTheme="majorBidi" w:hAnsiTheme="majorBidi" w:cstheme="majorBidi"/>
        </w:rPr>
        <w:t>(1), 1-32..</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Jorgenson, D.W., &amp; Stiroh, K.J. (2000). Raising the Speed Limit: U. S. Economic Growth in the Information Age. </w:t>
      </w:r>
      <w:r w:rsidRPr="00950C34">
        <w:rPr>
          <w:rFonts w:asciiTheme="majorBidi" w:hAnsiTheme="majorBidi" w:cstheme="majorBidi"/>
          <w:i/>
          <w:iCs/>
        </w:rPr>
        <w:t>Brookings Papers on Economic Activity, 2000</w:t>
      </w:r>
      <w:r w:rsidRPr="00950C34">
        <w:rPr>
          <w:rFonts w:asciiTheme="majorBidi" w:hAnsiTheme="majorBidi" w:cstheme="majorBidi"/>
        </w:rPr>
        <w:t>(1), 125-235.</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Jorgenson, D.W., Ho, M.S. &amp; Stiroh, K.J. (2004). Will the U.S. productivity resurgence continue? </w:t>
      </w:r>
      <w:r w:rsidRPr="00950C34">
        <w:rPr>
          <w:rFonts w:asciiTheme="majorBidi" w:hAnsiTheme="majorBidi" w:cstheme="majorBidi"/>
          <w:i/>
        </w:rPr>
        <w:t>Federal Reserve Bank of New York, Current Issues in Economics and Finance, 10</w:t>
      </w:r>
      <w:r w:rsidRPr="00950C34">
        <w:rPr>
          <w:rFonts w:asciiTheme="majorBidi" w:hAnsiTheme="majorBidi" w:cstheme="majorBidi"/>
        </w:rPr>
        <w:t>(3), 1-7.</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Jorgenson, D.W., Ho, M.S. &amp; Stiroh, K.J. (2007). </w:t>
      </w:r>
      <w:r w:rsidRPr="00950C34">
        <w:rPr>
          <w:rFonts w:asciiTheme="majorBidi" w:hAnsiTheme="majorBidi" w:cstheme="majorBidi"/>
          <w:i/>
          <w:iCs/>
        </w:rPr>
        <w:t>A retrospective look at the U.S. productivity growth resurgence.</w:t>
      </w:r>
      <w:r w:rsidRPr="00950C34">
        <w:rPr>
          <w:rFonts w:asciiTheme="majorBidi" w:hAnsiTheme="majorBidi" w:cstheme="majorBidi"/>
        </w:rPr>
        <w:t xml:space="preserve"> Federal Reserve Bank of New York (Staff Reports no.277, 2007). Retrieved from http://www.newyorkfed.org/research/staff_reports/sr277.html.</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Jussawalla, M., Taylor, R. D. (2003). </w:t>
      </w:r>
      <w:r w:rsidRPr="00950C34">
        <w:rPr>
          <w:rFonts w:asciiTheme="majorBidi" w:hAnsiTheme="majorBidi" w:cstheme="majorBidi"/>
          <w:i/>
          <w:iCs/>
        </w:rPr>
        <w:t>Information Technology Parks of the Asia Pacific: Lessons for the Regional Digital Divide.</w:t>
      </w:r>
      <w:r w:rsidRPr="00950C34">
        <w:rPr>
          <w:rFonts w:asciiTheme="majorBidi" w:hAnsiTheme="majorBidi" w:cstheme="majorBidi"/>
        </w:rPr>
        <w:t xml:space="preserve"> M.E. Sharpe.</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Kegels, C., Van Overbeke, M., &amp; Van Zandweghe, W. (2002). ICT Contribution to Economic Performance in Belgium: Preliminary Evidence. </w:t>
      </w:r>
      <w:r w:rsidRPr="00950C34">
        <w:rPr>
          <w:rFonts w:asciiTheme="majorBidi" w:hAnsiTheme="majorBidi" w:cstheme="majorBidi"/>
          <w:i/>
          <w:iCs/>
        </w:rPr>
        <w:t>Federal Planning Bureau, Working Paper,</w:t>
      </w:r>
      <w:r w:rsidRPr="00950C34">
        <w:rPr>
          <w:rFonts w:asciiTheme="majorBidi" w:hAnsiTheme="majorBidi" w:cstheme="majorBidi"/>
        </w:rPr>
        <w:t xml:space="preserve"> </w:t>
      </w:r>
      <w:r w:rsidRPr="00950C34">
        <w:rPr>
          <w:rFonts w:asciiTheme="majorBidi" w:hAnsiTheme="majorBidi" w:cstheme="majorBidi"/>
          <w:i/>
          <w:iCs/>
        </w:rPr>
        <w:t>8</w:t>
      </w:r>
      <w:r w:rsidRPr="00950C34">
        <w:rPr>
          <w:rFonts w:asciiTheme="majorBidi" w:hAnsiTheme="majorBidi" w:cstheme="majorBidi"/>
        </w:rPr>
        <w:t>(02).</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Kenny, C. (2003). The Internet and economic growth in less-developed countries: A case of managing expectations? </w:t>
      </w:r>
      <w:r w:rsidRPr="00950C34">
        <w:rPr>
          <w:rFonts w:asciiTheme="majorBidi" w:hAnsiTheme="majorBidi" w:cstheme="majorBidi"/>
          <w:i/>
          <w:iCs/>
        </w:rPr>
        <w:t>Oxford Development Studies, 31</w:t>
      </w:r>
      <w:r w:rsidRPr="00950C34">
        <w:rPr>
          <w:rFonts w:asciiTheme="majorBidi" w:hAnsiTheme="majorBidi" w:cstheme="majorBidi"/>
        </w:rPr>
        <w:t>, 99–113.</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Khan, H. &amp; Santos, M. (2002). Contribution of ICT Use to Output and Labour Productivity Growth in Canada. </w:t>
      </w:r>
      <w:r w:rsidRPr="00950C34">
        <w:rPr>
          <w:rFonts w:asciiTheme="majorBidi" w:hAnsiTheme="majorBidi" w:cstheme="majorBidi"/>
          <w:i/>
          <w:iCs/>
        </w:rPr>
        <w:t>Bank of Canada Working Paper, 7</w:t>
      </w:r>
      <w:r w:rsidRPr="00950C34">
        <w:rPr>
          <w:rFonts w:asciiTheme="majorBidi" w:hAnsiTheme="majorBidi" w:cstheme="majorBidi"/>
        </w:rPr>
        <w:t>.</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Kim, S.J. (2002). The Digital Economy and the Role of Government: Information Technology and Economic Performance in Korea. </w:t>
      </w:r>
      <w:r w:rsidRPr="00950C34">
        <w:rPr>
          <w:rFonts w:asciiTheme="majorBidi" w:hAnsiTheme="majorBidi" w:cstheme="majorBidi"/>
          <w:i/>
          <w:iCs/>
        </w:rPr>
        <w:t>Program on Information Resources Policy, Harvard University.</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Kuppusamy, M., Pahlavani, M., &amp; Saleh, A.S. (2008). Fostering ICT development for growth: measuring the payoffs for Australia and the ASEAN-5 Countries. </w:t>
      </w:r>
      <w:r w:rsidRPr="00950C34">
        <w:rPr>
          <w:rFonts w:asciiTheme="majorBidi" w:hAnsiTheme="majorBidi" w:cstheme="majorBidi"/>
          <w:i/>
          <w:iCs/>
        </w:rPr>
        <w:t>American Journal of Applied Sciences, 5</w:t>
      </w:r>
      <w:r w:rsidRPr="00950C34">
        <w:rPr>
          <w:rFonts w:asciiTheme="majorBidi" w:hAnsiTheme="majorBidi" w:cstheme="majorBidi"/>
        </w:rPr>
        <w:t xml:space="preserve">(12), 1676-1685. </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Lam, P-L, Shiu, A. (2010). Economic growth, telecommunications development and productivity growth of the telecommunications sector: evidence around the world. </w:t>
      </w:r>
      <w:r w:rsidRPr="00950C34">
        <w:rPr>
          <w:rFonts w:asciiTheme="majorBidi" w:hAnsiTheme="majorBidi" w:cstheme="majorBidi"/>
          <w:i/>
          <w:iCs/>
        </w:rPr>
        <w:t>Telecommunications Policy, 34</w:t>
      </w:r>
      <w:r w:rsidRPr="00950C34">
        <w:rPr>
          <w:rFonts w:asciiTheme="majorBidi" w:hAnsiTheme="majorBidi" w:cstheme="majorBidi"/>
        </w:rPr>
        <w:t>(4), 185-199.</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Lee, J-W &amp; Becker, K. (2011). Causal Relationship between Information Communications Technology and Economic Growth in European Countries. In Erdener Kaynak and Talha D. Harcar (Eds.), </w:t>
      </w:r>
      <w:r w:rsidRPr="00950C34">
        <w:rPr>
          <w:rFonts w:asciiTheme="majorBidi" w:hAnsiTheme="majorBidi" w:cstheme="majorBidi"/>
          <w:i/>
          <w:iCs/>
        </w:rPr>
        <w:t>Proceedings of the Twentieth World Business Congress of International Management Development Association</w:t>
      </w:r>
      <w:r w:rsidRPr="00950C34">
        <w:rPr>
          <w:rFonts w:asciiTheme="majorBidi" w:hAnsiTheme="majorBidi" w:cstheme="majorBidi"/>
        </w:rPr>
        <w:t xml:space="preserve">, (pp. 351-358). Hummelstown, PA. </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Lee, J-W. (2011). Empirical Evidence of Causality between Information Communications Technology and Economic Growth in China, Japan and South Korea. In Eldon Yi and Thomas Chang (Eds.), </w:t>
      </w:r>
      <w:r w:rsidRPr="00950C34">
        <w:rPr>
          <w:rFonts w:asciiTheme="majorBidi" w:hAnsiTheme="majorBidi" w:cstheme="majorBidi"/>
          <w:i/>
          <w:iCs/>
        </w:rPr>
        <w:t>Proceedings of the 11th International Decision Sciences Institute and the 16th Asia-Pacific Decision Sciences Institute Joint Meeting</w:t>
      </w:r>
      <w:r w:rsidRPr="00950C34">
        <w:rPr>
          <w:rFonts w:asciiTheme="majorBidi" w:hAnsiTheme="majorBidi" w:cstheme="majorBidi"/>
        </w:rPr>
        <w:t xml:space="preserve">, (pp. FA1-1-7). Taipei, Taiwan. </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Lee, T.S.Y., Gholami, R. &amp; Tong T.Y. (2005). Time series analysis in the assessment of ICT impact at the aggregate level – lessons and implications for the new economy. </w:t>
      </w:r>
      <w:r w:rsidRPr="00950C34">
        <w:rPr>
          <w:rFonts w:asciiTheme="majorBidi" w:hAnsiTheme="majorBidi" w:cstheme="majorBidi"/>
          <w:i/>
          <w:iCs/>
        </w:rPr>
        <w:t>Information &amp; Management, 42</w:t>
      </w:r>
      <w:r w:rsidRPr="00950C34">
        <w:rPr>
          <w:rFonts w:asciiTheme="majorBidi" w:hAnsiTheme="majorBidi" w:cstheme="majorBidi"/>
        </w:rPr>
        <w:t>(7), 1009–1022.</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Madden, G., &amp; Savage, S.J. (1998). CEE telecommunications investment and economic growth. </w:t>
      </w:r>
      <w:r w:rsidRPr="00950C34">
        <w:rPr>
          <w:rFonts w:asciiTheme="majorBidi" w:hAnsiTheme="majorBidi" w:cstheme="majorBidi"/>
          <w:i/>
          <w:iCs/>
        </w:rPr>
        <w:t>Information Economics and Policy, 10,</w:t>
      </w:r>
      <w:r w:rsidRPr="00950C34">
        <w:rPr>
          <w:rFonts w:asciiTheme="majorBidi" w:hAnsiTheme="majorBidi" w:cstheme="majorBidi"/>
        </w:rPr>
        <w:t xml:space="preserve"> 173–195.</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Meng, Q., Li, M. (2002). New Economy and ICT development in China. </w:t>
      </w:r>
      <w:r w:rsidRPr="00950C34">
        <w:rPr>
          <w:rFonts w:asciiTheme="majorBidi" w:hAnsiTheme="majorBidi" w:cstheme="majorBidi"/>
          <w:i/>
          <w:iCs/>
        </w:rPr>
        <w:t>Information Economics and Policy. 14</w:t>
      </w:r>
      <w:r w:rsidRPr="00950C34">
        <w:rPr>
          <w:rFonts w:asciiTheme="majorBidi" w:hAnsiTheme="majorBidi" w:cstheme="majorBidi"/>
        </w:rPr>
        <w:t>(2), 275-295.</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lastRenderedPageBreak/>
        <w:t xml:space="preserve">Miyagawa, T., Ito, Y. &amp; Harada, N. (2001). Does the IT revolution contribute to Japanese economic growth?, </w:t>
      </w:r>
      <w:r w:rsidRPr="00950C34">
        <w:rPr>
          <w:rFonts w:asciiTheme="majorBidi" w:hAnsiTheme="majorBidi" w:cstheme="majorBidi"/>
          <w:i/>
          <w:iCs/>
        </w:rPr>
        <w:t>Japan Center for Economic Research (JCER), 75</w:t>
      </w:r>
      <w:r w:rsidRPr="00950C34">
        <w:rPr>
          <w:rFonts w:asciiTheme="majorBidi" w:hAnsiTheme="majorBidi" w:cstheme="majorBidi"/>
        </w:rPr>
        <w:t>.</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Moshiri, S., &amp; Jahangard, E. (2007). ICT Impact on the Labor Productivity in the Iranian Manufacturing Industries; A Multilevel Analysis. </w:t>
      </w:r>
      <w:r w:rsidRPr="00950C34">
        <w:rPr>
          <w:rFonts w:asciiTheme="majorBidi" w:hAnsiTheme="majorBidi" w:cstheme="majorBidi"/>
          <w:i/>
          <w:iCs/>
        </w:rPr>
        <w:t>Quarterly Iranian Economic Review, 12</w:t>
      </w:r>
      <w:r w:rsidRPr="00950C34">
        <w:rPr>
          <w:rFonts w:asciiTheme="majorBidi" w:hAnsiTheme="majorBidi" w:cstheme="majorBidi"/>
        </w:rPr>
        <w:t>(18), 121-142.</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Niininen, P. (2001). Computers and Economic Growth.In M. Pohjola (Ed). (2001). </w:t>
      </w:r>
      <w:r w:rsidRPr="00950C34">
        <w:rPr>
          <w:rFonts w:asciiTheme="majorBidi" w:hAnsiTheme="majorBidi" w:cstheme="majorBidi"/>
          <w:i/>
          <w:iCs/>
        </w:rPr>
        <w:t>Information Technology, Productivity, and Economic Development: International Evidence and Implications for Economic Development.</w:t>
      </w:r>
      <w:r w:rsidRPr="00950C34">
        <w:rPr>
          <w:rFonts w:asciiTheme="majorBidi" w:hAnsiTheme="majorBidi" w:cstheme="majorBidi"/>
        </w:rPr>
        <w:t xml:space="preserve"> Oxford: Oxford University Press.</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Nour, S. (2002). The Impact of ICT on Economic Development in the Arab World: A comparative study of Egypt and the Gulf countries. </w:t>
      </w:r>
      <w:r w:rsidRPr="00950C34">
        <w:rPr>
          <w:rFonts w:asciiTheme="majorBidi" w:hAnsiTheme="majorBidi" w:cstheme="majorBidi"/>
          <w:i/>
          <w:iCs/>
        </w:rPr>
        <w:t>Ninth Annual Conference of the Economic Research Forum (ERF)</w:t>
      </w:r>
      <w:r w:rsidRPr="00950C34">
        <w:rPr>
          <w:rFonts w:asciiTheme="majorBidi" w:hAnsiTheme="majorBidi" w:cstheme="majorBidi"/>
        </w:rPr>
        <w:t xml:space="preserve">. Sharjah. </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Oliner, S. D., &amp; Sichel, D.E. ( 1994). Computers and Output Growth Revisited: How Big is the Puzzle? </w:t>
      </w:r>
      <w:r w:rsidRPr="00950C34">
        <w:rPr>
          <w:rFonts w:asciiTheme="majorBidi" w:hAnsiTheme="majorBidi" w:cstheme="majorBidi"/>
          <w:i/>
          <w:iCs/>
        </w:rPr>
        <w:t>Brookings Papers on Economic Activity, 2</w:t>
      </w:r>
      <w:r w:rsidRPr="00950C34">
        <w:rPr>
          <w:rFonts w:asciiTheme="majorBidi" w:hAnsiTheme="majorBidi" w:cstheme="majorBidi"/>
        </w:rPr>
        <w:t>, 273-317.</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Oliner, S.D., &amp; Sichel, D.E. (2000). The Resurgence of Growth in the Late 1990s: Is Information Technology the Story. </w:t>
      </w:r>
      <w:r w:rsidRPr="00950C34">
        <w:rPr>
          <w:rFonts w:asciiTheme="majorBidi" w:hAnsiTheme="majorBidi" w:cstheme="majorBidi"/>
          <w:i/>
          <w:iCs/>
        </w:rPr>
        <w:t>Journal of Economic Perspectives, 14</w:t>
      </w:r>
      <w:r w:rsidRPr="00950C34">
        <w:rPr>
          <w:rFonts w:asciiTheme="majorBidi" w:hAnsiTheme="majorBidi" w:cstheme="majorBidi"/>
        </w:rPr>
        <w:t>(4), 3-22.</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Oliner, S.D., &amp; Sichel, D.E. (2002). Information Technology and Productivity: Where are We Now and Where are We Going? </w:t>
      </w:r>
      <w:r w:rsidRPr="00950C34">
        <w:rPr>
          <w:rFonts w:asciiTheme="majorBidi" w:hAnsiTheme="majorBidi" w:cstheme="majorBidi"/>
          <w:i/>
          <w:iCs/>
        </w:rPr>
        <w:t>The Federal Reserve Board, Finance and Economic Discussion Series, 29</w:t>
      </w:r>
      <w:r w:rsidRPr="00950C34">
        <w:rPr>
          <w:rFonts w:asciiTheme="majorBidi" w:hAnsiTheme="majorBidi" w:cstheme="majorBidi"/>
        </w:rPr>
        <w:t>.</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Oulton, N. (2002). ICT and Productivity Growth in the UK. </w:t>
      </w:r>
      <w:r w:rsidRPr="00950C34">
        <w:rPr>
          <w:rFonts w:asciiTheme="majorBidi" w:hAnsiTheme="majorBidi" w:cstheme="majorBidi"/>
          <w:i/>
          <w:iCs/>
        </w:rPr>
        <w:t>Oxford Review of Economic Policy</w:t>
      </w:r>
      <w:r w:rsidRPr="00950C34">
        <w:rPr>
          <w:rFonts w:asciiTheme="majorBidi" w:hAnsiTheme="majorBidi" w:cstheme="majorBidi"/>
        </w:rPr>
        <w:t>.</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Phillips, P., &amp; Perron, P. (1988). Testing for a unit root in time series regression. </w:t>
      </w:r>
      <w:r w:rsidRPr="00950C34">
        <w:rPr>
          <w:rFonts w:asciiTheme="majorBidi" w:hAnsiTheme="majorBidi" w:cstheme="majorBidi"/>
          <w:i/>
          <w:iCs/>
        </w:rPr>
        <w:t>Biometrica, 75</w:t>
      </w:r>
      <w:r w:rsidRPr="00950C34">
        <w:rPr>
          <w:rFonts w:asciiTheme="majorBidi" w:hAnsiTheme="majorBidi" w:cstheme="majorBidi"/>
        </w:rPr>
        <w:t>(2), 335–346.</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Piatkowski, M. (2002). The </w:t>
      </w:r>
      <w:r w:rsidRPr="00950C34">
        <w:rPr>
          <w:rFonts w:ascii="Times New Roman" w:hAnsi="Times New Roman" w:cs="Times New Roman"/>
        </w:rPr>
        <w:t>’</w:t>
      </w:r>
      <w:r w:rsidRPr="00950C34">
        <w:rPr>
          <w:rFonts w:asciiTheme="majorBidi" w:hAnsiTheme="majorBidi" w:cstheme="majorBidi"/>
        </w:rPr>
        <w:t>New Economy</w:t>
      </w:r>
      <w:r w:rsidRPr="00950C34">
        <w:rPr>
          <w:rFonts w:ascii="Times New Roman" w:hAnsi="Times New Roman" w:cs="Times New Roman"/>
        </w:rPr>
        <w:t>’</w:t>
      </w:r>
      <w:r w:rsidRPr="00950C34">
        <w:rPr>
          <w:rFonts w:asciiTheme="majorBidi" w:hAnsiTheme="majorBidi" w:cstheme="majorBidi"/>
        </w:rPr>
        <w:t xml:space="preserve">and Economic Growth in Transition Economies. </w:t>
      </w:r>
      <w:r w:rsidRPr="00950C34">
        <w:rPr>
          <w:rFonts w:asciiTheme="majorBidi" w:hAnsiTheme="majorBidi" w:cstheme="majorBidi"/>
          <w:i/>
          <w:iCs/>
        </w:rPr>
        <w:t>WIDER Discussion Paper, 62.</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Pohjola, M. (2001). Information Technology and Economic Growth: A Cross-Country Analysis.In Pohjola, &amp; Matti (Eds). </w:t>
      </w:r>
      <w:r w:rsidRPr="00950C34">
        <w:rPr>
          <w:rFonts w:asciiTheme="majorBidi" w:hAnsiTheme="majorBidi" w:cstheme="majorBidi"/>
          <w:i/>
          <w:iCs/>
        </w:rPr>
        <w:t xml:space="preserve">Information Technology and Economic Development </w:t>
      </w:r>
      <w:r w:rsidRPr="00950C34">
        <w:rPr>
          <w:rFonts w:asciiTheme="majorBidi" w:hAnsiTheme="majorBidi" w:cstheme="majorBidi"/>
        </w:rPr>
        <w:t>(p: 242-256)</w:t>
      </w:r>
      <w:r w:rsidRPr="00950C34">
        <w:rPr>
          <w:rFonts w:asciiTheme="majorBidi" w:hAnsiTheme="majorBidi" w:cstheme="majorBidi"/>
          <w:i/>
          <w:iCs/>
        </w:rPr>
        <w:t>.</w:t>
      </w:r>
      <w:r w:rsidRPr="00950C34">
        <w:rPr>
          <w:rFonts w:asciiTheme="majorBidi" w:hAnsiTheme="majorBidi" w:cstheme="majorBidi"/>
        </w:rPr>
        <w:t xml:space="preserve"> Oxford: Oxford University Press,.</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Qiang, C.Z.W., Pitt, A., &amp;  Ayers, S., (2003). Contribution of Information and Communication Technologies to Growth. </w:t>
      </w:r>
      <w:r w:rsidRPr="00950C34">
        <w:rPr>
          <w:rFonts w:asciiTheme="majorBidi" w:hAnsiTheme="majorBidi" w:cstheme="majorBidi"/>
          <w:i/>
          <w:iCs/>
        </w:rPr>
        <w:t>World Bank Working Paper, 24</w:t>
      </w:r>
      <w:r w:rsidRPr="00950C34">
        <w:rPr>
          <w:rFonts w:asciiTheme="majorBidi" w:hAnsiTheme="majorBidi" w:cstheme="majorBidi"/>
        </w:rPr>
        <w:t>.</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RWI, &amp; Gordon, R. (2002). </w:t>
      </w:r>
      <w:r w:rsidRPr="00950C34">
        <w:rPr>
          <w:rFonts w:asciiTheme="majorBidi" w:hAnsiTheme="majorBidi" w:cstheme="majorBidi"/>
          <w:i/>
          <w:iCs/>
        </w:rPr>
        <w:t>New Economy-An Assessment from a German Viewpoint</w:t>
      </w:r>
      <w:r w:rsidRPr="00950C34">
        <w:rPr>
          <w:rFonts w:asciiTheme="majorBidi" w:hAnsiTheme="majorBidi" w:cstheme="majorBidi"/>
        </w:rPr>
        <w:t>. (Report from a research project commissioned by the Ministry of Economics and Technology of the Federal Republic of Germany). Berlin.</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Shiu, A. &amp; Lam, P-L. (2008). Causal relationship between telecommunications and economic growth in China and its regions. </w:t>
      </w:r>
      <w:r w:rsidRPr="00950C34">
        <w:rPr>
          <w:rFonts w:asciiTheme="majorBidi" w:hAnsiTheme="majorBidi" w:cstheme="majorBidi"/>
          <w:i/>
          <w:iCs/>
        </w:rPr>
        <w:t>Regional Studies,42,</w:t>
      </w:r>
      <w:r w:rsidRPr="00950C34">
        <w:rPr>
          <w:rFonts w:asciiTheme="majorBidi" w:hAnsiTheme="majorBidi" w:cstheme="majorBidi"/>
        </w:rPr>
        <w:t xml:space="preserve"> 705–718.</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Shiu, A. &amp; Lam, P</w:t>
      </w:r>
      <w:r w:rsidRPr="00950C34">
        <w:rPr>
          <w:rFonts w:ascii="Cambria Math" w:hAnsi="Cambria Math" w:cstheme="majorBidi"/>
        </w:rPr>
        <w:t>‐</w:t>
      </w:r>
      <w:r w:rsidRPr="00950C34">
        <w:rPr>
          <w:rFonts w:asciiTheme="majorBidi" w:hAnsiTheme="majorBidi" w:cstheme="majorBidi"/>
        </w:rPr>
        <w:t xml:space="preserve">L. (2008). Causal relationship between telecommunications and conomic growth: a study of 105 countries. </w:t>
      </w:r>
      <w:r w:rsidRPr="00950C34">
        <w:rPr>
          <w:rFonts w:asciiTheme="majorBidi" w:hAnsiTheme="majorBidi" w:cstheme="majorBidi"/>
          <w:i/>
          <w:iCs/>
        </w:rPr>
        <w:t>Paper presented at the 17th Biennial Conference of the International Telecommunications Society</w:t>
      </w:r>
      <w:r w:rsidRPr="00950C34">
        <w:rPr>
          <w:rFonts w:asciiTheme="majorBidi" w:hAnsiTheme="majorBidi" w:cstheme="majorBidi"/>
        </w:rPr>
        <w:t>. Montreal.</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 Simon, J., Wardrop, S. (2002). Australian Use of Information Technology and its Contribution to Growth. </w:t>
      </w:r>
      <w:r w:rsidRPr="00950C34">
        <w:rPr>
          <w:rFonts w:asciiTheme="majorBidi" w:hAnsiTheme="majorBidi" w:cstheme="majorBidi"/>
          <w:i/>
          <w:iCs/>
        </w:rPr>
        <w:t>Research Discussion paper, 02</w:t>
      </w:r>
      <w:r w:rsidRPr="00950C34">
        <w:rPr>
          <w:rFonts w:asciiTheme="majorBidi" w:hAnsiTheme="majorBidi" w:cstheme="majorBidi"/>
        </w:rPr>
        <w:t>, Economic Research Department, Reserve Bank of Australia.</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Timmer, M., Ypma, G., &amp; VanArk, B. (2003). IT in the European Union, driving productivity divergence? </w:t>
      </w:r>
      <w:r w:rsidRPr="00950C34">
        <w:rPr>
          <w:rFonts w:asciiTheme="majorBidi" w:hAnsiTheme="majorBidi" w:cstheme="majorBidi"/>
          <w:i/>
        </w:rPr>
        <w:t>Research Memorandum GD-7, Groningen Growth and Development Centre</w:t>
      </w:r>
      <w:r w:rsidRPr="00950C34">
        <w:rPr>
          <w:rFonts w:asciiTheme="majorBidi" w:hAnsiTheme="majorBidi" w:cstheme="majorBidi"/>
        </w:rPr>
        <w:t>. Retrieved from  http://www.ggdc.net/publications/memorandum/gd67.pdfS.</w:t>
      </w:r>
    </w:p>
    <w:p w:rsidR="00265C28" w:rsidRPr="00950C34"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Van Ark, B., Melka, J., Mulder, N., Timmer, M., &amp; Ypma, G. (2002). ICT investment and growth accounts for the European Union,1980–2000. </w:t>
      </w:r>
      <w:r w:rsidRPr="00950C34">
        <w:rPr>
          <w:rFonts w:asciiTheme="majorBidi" w:hAnsiTheme="majorBidi" w:cstheme="majorBidi"/>
          <w:i/>
        </w:rPr>
        <w:t>Research Memorandum GD-56, Groningen Growth and Development Centre.</w:t>
      </w:r>
      <w:r w:rsidRPr="00950C34">
        <w:rPr>
          <w:rFonts w:asciiTheme="majorBidi" w:hAnsiTheme="majorBidi" w:cstheme="majorBidi"/>
        </w:rPr>
        <w:t xml:space="preserve"> Retrieved from http://www.ggdc.net/publications/memorandum/gd56.pdfS. </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Van der Wiel, H. (2000). ICT Important for growth. </w:t>
      </w:r>
      <w:r w:rsidRPr="00950C34">
        <w:rPr>
          <w:rFonts w:asciiTheme="majorBidi" w:hAnsiTheme="majorBidi" w:cstheme="majorBidi"/>
          <w:i/>
          <w:iCs/>
        </w:rPr>
        <w:t>CPB Report, 2</w:t>
      </w:r>
      <w:r w:rsidRPr="00950C34">
        <w:rPr>
          <w:rFonts w:asciiTheme="majorBidi" w:hAnsiTheme="majorBidi" w:cstheme="majorBidi"/>
        </w:rPr>
        <w:t>, 17-23.</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Veeramacheneni, B., Ekanayake, E.M., &amp; Vogel, R. (2007). Information Technology and Economic Growth: A Causal Analysis. </w:t>
      </w:r>
      <w:r w:rsidRPr="00950C34">
        <w:rPr>
          <w:rFonts w:asciiTheme="majorBidi" w:hAnsiTheme="majorBidi" w:cstheme="majorBidi"/>
          <w:i/>
          <w:iCs/>
        </w:rPr>
        <w:t>Southwestern Economic Review Journal of the Southwestern Society of Economists</w:t>
      </w:r>
      <w:r w:rsidRPr="00950C34">
        <w:rPr>
          <w:rFonts w:asciiTheme="majorBidi" w:hAnsiTheme="majorBidi" w:cstheme="majorBidi"/>
          <w:i/>
        </w:rPr>
        <w:t>,34</w:t>
      </w:r>
      <w:r w:rsidRPr="00950C34">
        <w:rPr>
          <w:rFonts w:asciiTheme="majorBidi" w:hAnsiTheme="majorBidi" w:cstheme="majorBidi"/>
        </w:rPr>
        <w:t>(1), 75 – 88.</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Wang, E.H. (1999). The Impact of ICT on Taiwan's Economic Development-An Example for Asia East. </w:t>
      </w:r>
      <w:r w:rsidRPr="00950C34">
        <w:rPr>
          <w:rFonts w:asciiTheme="majorBidi" w:hAnsiTheme="majorBidi" w:cstheme="majorBidi"/>
          <w:i/>
          <w:iCs/>
        </w:rPr>
        <w:t>Telecommunications Policy, 23</w:t>
      </w:r>
      <w:r w:rsidRPr="00950C34">
        <w:rPr>
          <w:rFonts w:asciiTheme="majorBidi" w:hAnsiTheme="majorBidi" w:cstheme="majorBidi"/>
        </w:rPr>
        <w:t>(3/4), 235-243.</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t xml:space="preserve">Wolde-Rufael Y. (2007). Another look at the relationship between telecommunications investment and economic activity in the United States. </w:t>
      </w:r>
      <w:r w:rsidRPr="00950C34">
        <w:rPr>
          <w:rFonts w:asciiTheme="majorBidi" w:hAnsiTheme="majorBidi" w:cstheme="majorBidi"/>
          <w:i/>
          <w:iCs/>
        </w:rPr>
        <w:t>International Economic Journal, 21</w:t>
      </w:r>
      <w:r w:rsidRPr="00950C34">
        <w:rPr>
          <w:rFonts w:asciiTheme="majorBidi" w:hAnsiTheme="majorBidi" w:cstheme="majorBidi"/>
        </w:rPr>
        <w:t>, 199-205.</w:t>
      </w:r>
    </w:p>
    <w:p w:rsidR="00265C28" w:rsidRPr="00950C34" w:rsidRDefault="00265C28" w:rsidP="00F33BC8">
      <w:pPr>
        <w:pStyle w:val="ListParagraph"/>
        <w:spacing w:after="0" w:line="240" w:lineRule="auto"/>
        <w:ind w:left="360" w:hanging="360"/>
        <w:outlineLvl w:val="0"/>
        <w:rPr>
          <w:rFonts w:asciiTheme="majorBidi" w:hAnsiTheme="majorBidi" w:cstheme="majorBidi"/>
        </w:rPr>
      </w:pPr>
      <w:r w:rsidRPr="00950C34">
        <w:rPr>
          <w:rFonts w:asciiTheme="majorBidi" w:hAnsiTheme="majorBidi" w:cstheme="majorBidi"/>
        </w:rPr>
        <w:t>World Bank, (2008).  ICT At-a-Glance. http://devdata.worldbank.org/ict/irn_ict.pdf</w:t>
      </w:r>
    </w:p>
    <w:p w:rsidR="00265C28" w:rsidRPr="00950C34" w:rsidRDefault="00265C28" w:rsidP="00F33BC8">
      <w:pPr>
        <w:tabs>
          <w:tab w:val="left" w:pos="1382"/>
          <w:tab w:val="left" w:pos="7857"/>
        </w:tabs>
        <w:spacing w:after="0" w:line="240" w:lineRule="auto"/>
        <w:ind w:left="360" w:hanging="360"/>
        <w:rPr>
          <w:rFonts w:asciiTheme="majorBidi" w:hAnsiTheme="majorBidi" w:cstheme="majorBidi"/>
        </w:rPr>
      </w:pPr>
      <w:r w:rsidRPr="00950C34">
        <w:rPr>
          <w:rFonts w:asciiTheme="majorBidi" w:hAnsiTheme="majorBidi" w:cstheme="majorBidi"/>
        </w:rPr>
        <w:lastRenderedPageBreak/>
        <w:t>World Bank, (2010). World Development Indicators Online (WDI Online), Washington, DC: World Bank. Retrieved from http://www.worldbank.org/</w:t>
      </w:r>
    </w:p>
    <w:p w:rsidR="00265C28" w:rsidRPr="001C3795" w:rsidRDefault="00265C28" w:rsidP="00F33BC8">
      <w:pPr>
        <w:spacing w:after="0" w:line="240" w:lineRule="auto"/>
        <w:ind w:left="360" w:hanging="360"/>
        <w:rPr>
          <w:rFonts w:asciiTheme="majorBidi" w:hAnsiTheme="majorBidi" w:cstheme="majorBidi"/>
        </w:rPr>
      </w:pPr>
      <w:r w:rsidRPr="00950C34">
        <w:rPr>
          <w:rFonts w:asciiTheme="majorBidi" w:hAnsiTheme="majorBidi" w:cstheme="majorBidi"/>
        </w:rPr>
        <w:t xml:space="preserve">Yoo, S-H. &amp; Kwak, S-J. (2004). Information technology and economic development in Korea: A causality study. </w:t>
      </w:r>
      <w:r w:rsidRPr="00950C34">
        <w:rPr>
          <w:rFonts w:asciiTheme="majorBidi" w:hAnsiTheme="majorBidi" w:cstheme="majorBidi"/>
          <w:i/>
          <w:iCs/>
        </w:rPr>
        <w:t>International Journal of Technology Management, 27</w:t>
      </w:r>
      <w:r w:rsidRPr="00950C34">
        <w:rPr>
          <w:rFonts w:asciiTheme="majorBidi" w:hAnsiTheme="majorBidi" w:cstheme="majorBidi"/>
        </w:rPr>
        <w:t>, 57–67.</w:t>
      </w:r>
    </w:p>
    <w:p w:rsidR="00C754ED" w:rsidRDefault="00C754ED" w:rsidP="00F33BC8">
      <w:pPr>
        <w:tabs>
          <w:tab w:val="left" w:pos="1382"/>
          <w:tab w:val="left" w:pos="7857"/>
        </w:tabs>
        <w:spacing w:after="0" w:line="240" w:lineRule="auto"/>
        <w:ind w:left="360" w:hanging="360"/>
        <w:rPr>
          <w:rFonts w:ascii="Times New Roman" w:hAnsi="Times New Roman" w:cs="Times New Roman"/>
          <w:sz w:val="24"/>
          <w:szCs w:val="24"/>
        </w:rPr>
      </w:pPr>
    </w:p>
    <w:p w:rsidR="00B81A2B" w:rsidRPr="00DA1C2C" w:rsidRDefault="00B81A2B" w:rsidP="00F33BC8">
      <w:pPr>
        <w:tabs>
          <w:tab w:val="left" w:pos="1382"/>
          <w:tab w:val="left" w:pos="7857"/>
        </w:tabs>
        <w:spacing w:line="240" w:lineRule="auto"/>
        <w:rPr>
          <w:rFonts w:asciiTheme="majorBidi" w:hAnsiTheme="majorBidi" w:cstheme="majorBidi"/>
          <w:sz w:val="24"/>
          <w:szCs w:val="24"/>
        </w:rPr>
      </w:pPr>
    </w:p>
    <w:sectPr w:rsidR="00B81A2B" w:rsidRPr="00DA1C2C" w:rsidSect="00F50DC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A9" w:rsidRDefault="00944EA9" w:rsidP="00B97DAB">
      <w:pPr>
        <w:spacing w:after="0" w:line="240" w:lineRule="auto"/>
      </w:pPr>
      <w:r>
        <w:separator/>
      </w:r>
    </w:p>
  </w:endnote>
  <w:endnote w:type="continuationSeparator" w:id="0">
    <w:p w:rsidR="00944EA9" w:rsidRDefault="00944EA9" w:rsidP="00B97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MUSPO+Minio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23678"/>
      <w:docPartObj>
        <w:docPartGallery w:val="Page Numbers (Bottom of Page)"/>
        <w:docPartUnique/>
      </w:docPartObj>
    </w:sdtPr>
    <w:sdtContent>
      <w:p w:rsidR="00B40DEE" w:rsidRDefault="00BF65ED">
        <w:pPr>
          <w:pStyle w:val="Footer"/>
          <w:jc w:val="center"/>
        </w:pPr>
        <w:fldSimple w:instr=" PAGE   \* MERGEFORMAT ">
          <w:r w:rsidR="002E1862">
            <w:rPr>
              <w:noProof/>
            </w:rPr>
            <w:t>12</w:t>
          </w:r>
        </w:fldSimple>
      </w:p>
    </w:sdtContent>
  </w:sdt>
  <w:p w:rsidR="009C3748" w:rsidRDefault="009C3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A9" w:rsidRDefault="00944EA9" w:rsidP="00B97DAB">
      <w:pPr>
        <w:spacing w:after="0" w:line="240" w:lineRule="auto"/>
      </w:pPr>
      <w:r>
        <w:separator/>
      </w:r>
    </w:p>
  </w:footnote>
  <w:footnote w:type="continuationSeparator" w:id="0">
    <w:p w:rsidR="00944EA9" w:rsidRDefault="00944EA9" w:rsidP="00B97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87284"/>
    <w:multiLevelType w:val="hybridMultilevel"/>
    <w:tmpl w:val="B29A6740"/>
    <w:lvl w:ilvl="0" w:tplc="F6F23AD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14DAD"/>
    <w:multiLevelType w:val="hybridMultilevel"/>
    <w:tmpl w:val="97E81070"/>
    <w:lvl w:ilvl="0" w:tplc="90742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8958FA"/>
    <w:rsid w:val="00002027"/>
    <w:rsid w:val="00003731"/>
    <w:rsid w:val="00005289"/>
    <w:rsid w:val="000070E1"/>
    <w:rsid w:val="000076A2"/>
    <w:rsid w:val="00007A2B"/>
    <w:rsid w:val="0001400F"/>
    <w:rsid w:val="000147C6"/>
    <w:rsid w:val="00016088"/>
    <w:rsid w:val="00016D70"/>
    <w:rsid w:val="00020E46"/>
    <w:rsid w:val="00021CBC"/>
    <w:rsid w:val="00023059"/>
    <w:rsid w:val="00033D16"/>
    <w:rsid w:val="00034E6A"/>
    <w:rsid w:val="00040711"/>
    <w:rsid w:val="000408CE"/>
    <w:rsid w:val="00040DE1"/>
    <w:rsid w:val="000412F2"/>
    <w:rsid w:val="00041E57"/>
    <w:rsid w:val="00043A2D"/>
    <w:rsid w:val="00044CE6"/>
    <w:rsid w:val="000479D7"/>
    <w:rsid w:val="0005091B"/>
    <w:rsid w:val="00053777"/>
    <w:rsid w:val="00053A56"/>
    <w:rsid w:val="00061E99"/>
    <w:rsid w:val="00064261"/>
    <w:rsid w:val="00067CD1"/>
    <w:rsid w:val="00073D22"/>
    <w:rsid w:val="00075EE3"/>
    <w:rsid w:val="00075EFE"/>
    <w:rsid w:val="000764FB"/>
    <w:rsid w:val="0007738C"/>
    <w:rsid w:val="00077B0D"/>
    <w:rsid w:val="0008136C"/>
    <w:rsid w:val="00081650"/>
    <w:rsid w:val="00082336"/>
    <w:rsid w:val="00083839"/>
    <w:rsid w:val="00090CE6"/>
    <w:rsid w:val="00093CE6"/>
    <w:rsid w:val="00093FF0"/>
    <w:rsid w:val="000A0FCC"/>
    <w:rsid w:val="000A1E76"/>
    <w:rsid w:val="000A2149"/>
    <w:rsid w:val="000A3531"/>
    <w:rsid w:val="000A40D2"/>
    <w:rsid w:val="000A731B"/>
    <w:rsid w:val="000A7E27"/>
    <w:rsid w:val="000B0A42"/>
    <w:rsid w:val="000B44BA"/>
    <w:rsid w:val="000B575F"/>
    <w:rsid w:val="000B6FAB"/>
    <w:rsid w:val="000C0EDD"/>
    <w:rsid w:val="000C10F5"/>
    <w:rsid w:val="000C18C7"/>
    <w:rsid w:val="000C3206"/>
    <w:rsid w:val="000C5A3C"/>
    <w:rsid w:val="000C5DA7"/>
    <w:rsid w:val="000C6320"/>
    <w:rsid w:val="000C6C6E"/>
    <w:rsid w:val="000C71C0"/>
    <w:rsid w:val="000C75B1"/>
    <w:rsid w:val="000D0782"/>
    <w:rsid w:val="000D2513"/>
    <w:rsid w:val="000D2568"/>
    <w:rsid w:val="000D2AE8"/>
    <w:rsid w:val="000D34CA"/>
    <w:rsid w:val="000D5AF2"/>
    <w:rsid w:val="000D7C38"/>
    <w:rsid w:val="000E0421"/>
    <w:rsid w:val="000E05E7"/>
    <w:rsid w:val="000E0A97"/>
    <w:rsid w:val="000E0E43"/>
    <w:rsid w:val="000E5A85"/>
    <w:rsid w:val="000F0C78"/>
    <w:rsid w:val="000F15F4"/>
    <w:rsid w:val="000F1623"/>
    <w:rsid w:val="000F3964"/>
    <w:rsid w:val="000F50E4"/>
    <w:rsid w:val="000F6671"/>
    <w:rsid w:val="000F68DF"/>
    <w:rsid w:val="000F6D70"/>
    <w:rsid w:val="001008CA"/>
    <w:rsid w:val="0010119D"/>
    <w:rsid w:val="00104FB6"/>
    <w:rsid w:val="001124E3"/>
    <w:rsid w:val="001125DD"/>
    <w:rsid w:val="001140F1"/>
    <w:rsid w:val="0011686A"/>
    <w:rsid w:val="0011688F"/>
    <w:rsid w:val="00120598"/>
    <w:rsid w:val="00120D73"/>
    <w:rsid w:val="0012213B"/>
    <w:rsid w:val="001254DB"/>
    <w:rsid w:val="00125D02"/>
    <w:rsid w:val="00127338"/>
    <w:rsid w:val="001353DA"/>
    <w:rsid w:val="0013707E"/>
    <w:rsid w:val="00140324"/>
    <w:rsid w:val="0014456B"/>
    <w:rsid w:val="00146CFD"/>
    <w:rsid w:val="00154701"/>
    <w:rsid w:val="001562CB"/>
    <w:rsid w:val="00156B83"/>
    <w:rsid w:val="00161E67"/>
    <w:rsid w:val="00162E74"/>
    <w:rsid w:val="00163B63"/>
    <w:rsid w:val="00165409"/>
    <w:rsid w:val="001736C6"/>
    <w:rsid w:val="0017737C"/>
    <w:rsid w:val="00180AE7"/>
    <w:rsid w:val="00180B74"/>
    <w:rsid w:val="001810BF"/>
    <w:rsid w:val="00182989"/>
    <w:rsid w:val="0018476F"/>
    <w:rsid w:val="0018508D"/>
    <w:rsid w:val="00185762"/>
    <w:rsid w:val="00185E19"/>
    <w:rsid w:val="001901CA"/>
    <w:rsid w:val="00190ED2"/>
    <w:rsid w:val="00196DF2"/>
    <w:rsid w:val="00197675"/>
    <w:rsid w:val="00197878"/>
    <w:rsid w:val="001A069B"/>
    <w:rsid w:val="001A1405"/>
    <w:rsid w:val="001A320E"/>
    <w:rsid w:val="001A339D"/>
    <w:rsid w:val="001A410E"/>
    <w:rsid w:val="001A5558"/>
    <w:rsid w:val="001A6DDE"/>
    <w:rsid w:val="001B15D4"/>
    <w:rsid w:val="001B480A"/>
    <w:rsid w:val="001B4D7D"/>
    <w:rsid w:val="001B5B6A"/>
    <w:rsid w:val="001B72DC"/>
    <w:rsid w:val="001C654B"/>
    <w:rsid w:val="001D0505"/>
    <w:rsid w:val="001D4819"/>
    <w:rsid w:val="001D7C11"/>
    <w:rsid w:val="001E0DC2"/>
    <w:rsid w:val="001E1AC9"/>
    <w:rsid w:val="001E4334"/>
    <w:rsid w:val="001E5737"/>
    <w:rsid w:val="001E5B09"/>
    <w:rsid w:val="001F6C17"/>
    <w:rsid w:val="00200DE0"/>
    <w:rsid w:val="002074C5"/>
    <w:rsid w:val="00210A5B"/>
    <w:rsid w:val="00212993"/>
    <w:rsid w:val="002138A3"/>
    <w:rsid w:val="0021425F"/>
    <w:rsid w:val="00217457"/>
    <w:rsid w:val="00222F9A"/>
    <w:rsid w:val="00224955"/>
    <w:rsid w:val="00225617"/>
    <w:rsid w:val="00227444"/>
    <w:rsid w:val="00232861"/>
    <w:rsid w:val="00235201"/>
    <w:rsid w:val="00235218"/>
    <w:rsid w:val="00237071"/>
    <w:rsid w:val="00244D9F"/>
    <w:rsid w:val="00255889"/>
    <w:rsid w:val="00256EF8"/>
    <w:rsid w:val="002638D4"/>
    <w:rsid w:val="002643EA"/>
    <w:rsid w:val="00264F99"/>
    <w:rsid w:val="00265B1A"/>
    <w:rsid w:val="00265C28"/>
    <w:rsid w:val="00266AF6"/>
    <w:rsid w:val="00267B17"/>
    <w:rsid w:val="00272D35"/>
    <w:rsid w:val="00274667"/>
    <w:rsid w:val="002803A8"/>
    <w:rsid w:val="00280CE2"/>
    <w:rsid w:val="00280E8D"/>
    <w:rsid w:val="002847D8"/>
    <w:rsid w:val="00285DC5"/>
    <w:rsid w:val="00287FCE"/>
    <w:rsid w:val="002941EF"/>
    <w:rsid w:val="002948A0"/>
    <w:rsid w:val="00295876"/>
    <w:rsid w:val="00297AF7"/>
    <w:rsid w:val="002A0BA6"/>
    <w:rsid w:val="002A0DA5"/>
    <w:rsid w:val="002A16AD"/>
    <w:rsid w:val="002A1A08"/>
    <w:rsid w:val="002A3AC1"/>
    <w:rsid w:val="002A5769"/>
    <w:rsid w:val="002A6B5B"/>
    <w:rsid w:val="002A6FAD"/>
    <w:rsid w:val="002A72D5"/>
    <w:rsid w:val="002B305E"/>
    <w:rsid w:val="002B34C7"/>
    <w:rsid w:val="002B6141"/>
    <w:rsid w:val="002B679F"/>
    <w:rsid w:val="002C01FA"/>
    <w:rsid w:val="002C02B4"/>
    <w:rsid w:val="002C49DC"/>
    <w:rsid w:val="002C4F7F"/>
    <w:rsid w:val="002C5286"/>
    <w:rsid w:val="002C5A36"/>
    <w:rsid w:val="002D0633"/>
    <w:rsid w:val="002D222F"/>
    <w:rsid w:val="002D3D9E"/>
    <w:rsid w:val="002D4878"/>
    <w:rsid w:val="002D48C4"/>
    <w:rsid w:val="002D5F88"/>
    <w:rsid w:val="002D6732"/>
    <w:rsid w:val="002D71E3"/>
    <w:rsid w:val="002E1862"/>
    <w:rsid w:val="002E20A6"/>
    <w:rsid w:val="002E520F"/>
    <w:rsid w:val="002E71EB"/>
    <w:rsid w:val="002F22AA"/>
    <w:rsid w:val="002F51B6"/>
    <w:rsid w:val="002F6E0A"/>
    <w:rsid w:val="002F7F40"/>
    <w:rsid w:val="00300E9F"/>
    <w:rsid w:val="00301312"/>
    <w:rsid w:val="0030283F"/>
    <w:rsid w:val="0031114A"/>
    <w:rsid w:val="00315EFE"/>
    <w:rsid w:val="00321111"/>
    <w:rsid w:val="00322B80"/>
    <w:rsid w:val="00324D8D"/>
    <w:rsid w:val="00327443"/>
    <w:rsid w:val="00330235"/>
    <w:rsid w:val="00341628"/>
    <w:rsid w:val="00345500"/>
    <w:rsid w:val="003538FB"/>
    <w:rsid w:val="003545D7"/>
    <w:rsid w:val="00355449"/>
    <w:rsid w:val="003565F1"/>
    <w:rsid w:val="00357710"/>
    <w:rsid w:val="00363833"/>
    <w:rsid w:val="00365181"/>
    <w:rsid w:val="003706B4"/>
    <w:rsid w:val="00371640"/>
    <w:rsid w:val="00377E8A"/>
    <w:rsid w:val="00380841"/>
    <w:rsid w:val="003811A3"/>
    <w:rsid w:val="00381809"/>
    <w:rsid w:val="003824FD"/>
    <w:rsid w:val="003826C6"/>
    <w:rsid w:val="003831A2"/>
    <w:rsid w:val="00384327"/>
    <w:rsid w:val="00384A25"/>
    <w:rsid w:val="00386018"/>
    <w:rsid w:val="00386C92"/>
    <w:rsid w:val="003870A8"/>
    <w:rsid w:val="003917C0"/>
    <w:rsid w:val="00393673"/>
    <w:rsid w:val="00394CBA"/>
    <w:rsid w:val="00395A1F"/>
    <w:rsid w:val="003A06E3"/>
    <w:rsid w:val="003A3240"/>
    <w:rsid w:val="003A474E"/>
    <w:rsid w:val="003A48B9"/>
    <w:rsid w:val="003A6435"/>
    <w:rsid w:val="003A7049"/>
    <w:rsid w:val="003B13D6"/>
    <w:rsid w:val="003B30F6"/>
    <w:rsid w:val="003C0D68"/>
    <w:rsid w:val="003C238F"/>
    <w:rsid w:val="003C51B6"/>
    <w:rsid w:val="003C527A"/>
    <w:rsid w:val="003C54E3"/>
    <w:rsid w:val="003C6200"/>
    <w:rsid w:val="003D0504"/>
    <w:rsid w:val="003D129C"/>
    <w:rsid w:val="003D19CB"/>
    <w:rsid w:val="003D2791"/>
    <w:rsid w:val="003D44D1"/>
    <w:rsid w:val="003D543B"/>
    <w:rsid w:val="003D7A2F"/>
    <w:rsid w:val="003D7D93"/>
    <w:rsid w:val="003E1926"/>
    <w:rsid w:val="003E7E0C"/>
    <w:rsid w:val="003E7EB6"/>
    <w:rsid w:val="003E7F8C"/>
    <w:rsid w:val="003F1368"/>
    <w:rsid w:val="003F1E0B"/>
    <w:rsid w:val="00404C27"/>
    <w:rsid w:val="00404DFF"/>
    <w:rsid w:val="004061E5"/>
    <w:rsid w:val="004134AD"/>
    <w:rsid w:val="00415B5A"/>
    <w:rsid w:val="00415DCC"/>
    <w:rsid w:val="00417B11"/>
    <w:rsid w:val="00420B78"/>
    <w:rsid w:val="00433CA0"/>
    <w:rsid w:val="004352CA"/>
    <w:rsid w:val="0044127C"/>
    <w:rsid w:val="004413F4"/>
    <w:rsid w:val="00441EE8"/>
    <w:rsid w:val="00443EB5"/>
    <w:rsid w:val="00452497"/>
    <w:rsid w:val="004571CA"/>
    <w:rsid w:val="0046170C"/>
    <w:rsid w:val="00462FF0"/>
    <w:rsid w:val="00464FE0"/>
    <w:rsid w:val="004679D2"/>
    <w:rsid w:val="00475C9E"/>
    <w:rsid w:val="00486FBC"/>
    <w:rsid w:val="004872E6"/>
    <w:rsid w:val="00492F2E"/>
    <w:rsid w:val="00496B32"/>
    <w:rsid w:val="00496D41"/>
    <w:rsid w:val="0049743A"/>
    <w:rsid w:val="00497826"/>
    <w:rsid w:val="00497CCF"/>
    <w:rsid w:val="004A01FC"/>
    <w:rsid w:val="004A4332"/>
    <w:rsid w:val="004A7770"/>
    <w:rsid w:val="004A7DF4"/>
    <w:rsid w:val="004C0ECC"/>
    <w:rsid w:val="004C17C8"/>
    <w:rsid w:val="004C1EA0"/>
    <w:rsid w:val="004C74CA"/>
    <w:rsid w:val="004D069E"/>
    <w:rsid w:val="004D33D9"/>
    <w:rsid w:val="004D375D"/>
    <w:rsid w:val="004D39A1"/>
    <w:rsid w:val="004D41E4"/>
    <w:rsid w:val="004D6C94"/>
    <w:rsid w:val="004E2BA6"/>
    <w:rsid w:val="004E5A90"/>
    <w:rsid w:val="004F020C"/>
    <w:rsid w:val="004F1A19"/>
    <w:rsid w:val="004F4180"/>
    <w:rsid w:val="004F521B"/>
    <w:rsid w:val="005018B9"/>
    <w:rsid w:val="00501A28"/>
    <w:rsid w:val="00505FC1"/>
    <w:rsid w:val="005064C4"/>
    <w:rsid w:val="005070C4"/>
    <w:rsid w:val="00510D86"/>
    <w:rsid w:val="005111F2"/>
    <w:rsid w:val="00514D7A"/>
    <w:rsid w:val="005264E8"/>
    <w:rsid w:val="00535AE1"/>
    <w:rsid w:val="00535C97"/>
    <w:rsid w:val="00542FA0"/>
    <w:rsid w:val="00543F67"/>
    <w:rsid w:val="00544E0F"/>
    <w:rsid w:val="00547476"/>
    <w:rsid w:val="005506F0"/>
    <w:rsid w:val="00550A8E"/>
    <w:rsid w:val="00550E08"/>
    <w:rsid w:val="0056000A"/>
    <w:rsid w:val="005645CC"/>
    <w:rsid w:val="00564C6A"/>
    <w:rsid w:val="005651C5"/>
    <w:rsid w:val="0057181B"/>
    <w:rsid w:val="00571DD4"/>
    <w:rsid w:val="00572BAB"/>
    <w:rsid w:val="0057432B"/>
    <w:rsid w:val="00574A66"/>
    <w:rsid w:val="00574E04"/>
    <w:rsid w:val="00577F86"/>
    <w:rsid w:val="00583586"/>
    <w:rsid w:val="00591A8A"/>
    <w:rsid w:val="00592C3F"/>
    <w:rsid w:val="005961F2"/>
    <w:rsid w:val="0059697A"/>
    <w:rsid w:val="00597704"/>
    <w:rsid w:val="005A3089"/>
    <w:rsid w:val="005A344B"/>
    <w:rsid w:val="005A6D99"/>
    <w:rsid w:val="005B154B"/>
    <w:rsid w:val="005B1A4F"/>
    <w:rsid w:val="005B3AE2"/>
    <w:rsid w:val="005B63B6"/>
    <w:rsid w:val="005B6E1A"/>
    <w:rsid w:val="005C02F8"/>
    <w:rsid w:val="005C2428"/>
    <w:rsid w:val="005C29B1"/>
    <w:rsid w:val="005C34EC"/>
    <w:rsid w:val="005C3CE7"/>
    <w:rsid w:val="005C3F9A"/>
    <w:rsid w:val="005C4BAC"/>
    <w:rsid w:val="005C4CBF"/>
    <w:rsid w:val="005C5743"/>
    <w:rsid w:val="005C6861"/>
    <w:rsid w:val="005D4539"/>
    <w:rsid w:val="005D6764"/>
    <w:rsid w:val="005D7DC6"/>
    <w:rsid w:val="005E2D29"/>
    <w:rsid w:val="005E54F3"/>
    <w:rsid w:val="005E587A"/>
    <w:rsid w:val="005E7AD6"/>
    <w:rsid w:val="005F1517"/>
    <w:rsid w:val="005F194C"/>
    <w:rsid w:val="005F2A63"/>
    <w:rsid w:val="005F59B1"/>
    <w:rsid w:val="005F5F44"/>
    <w:rsid w:val="005F613F"/>
    <w:rsid w:val="005F75F4"/>
    <w:rsid w:val="006055AC"/>
    <w:rsid w:val="00606A40"/>
    <w:rsid w:val="0060717D"/>
    <w:rsid w:val="0061434C"/>
    <w:rsid w:val="00615ED1"/>
    <w:rsid w:val="00622E75"/>
    <w:rsid w:val="0062363E"/>
    <w:rsid w:val="0062647B"/>
    <w:rsid w:val="00631077"/>
    <w:rsid w:val="00634DAD"/>
    <w:rsid w:val="006377BB"/>
    <w:rsid w:val="00637B1A"/>
    <w:rsid w:val="00641339"/>
    <w:rsid w:val="006415FB"/>
    <w:rsid w:val="00642531"/>
    <w:rsid w:val="00645A86"/>
    <w:rsid w:val="00647B54"/>
    <w:rsid w:val="00647CD7"/>
    <w:rsid w:val="0065402D"/>
    <w:rsid w:val="006559D5"/>
    <w:rsid w:val="00655A72"/>
    <w:rsid w:val="00657B8F"/>
    <w:rsid w:val="00666D07"/>
    <w:rsid w:val="0066779B"/>
    <w:rsid w:val="00667F86"/>
    <w:rsid w:val="00670190"/>
    <w:rsid w:val="00672A20"/>
    <w:rsid w:val="00680130"/>
    <w:rsid w:val="00684742"/>
    <w:rsid w:val="0068708E"/>
    <w:rsid w:val="00690FEE"/>
    <w:rsid w:val="00691205"/>
    <w:rsid w:val="00691AF4"/>
    <w:rsid w:val="00691CA3"/>
    <w:rsid w:val="00692FAA"/>
    <w:rsid w:val="006936F1"/>
    <w:rsid w:val="0069757C"/>
    <w:rsid w:val="006A0D71"/>
    <w:rsid w:val="006A5B24"/>
    <w:rsid w:val="006A5CE8"/>
    <w:rsid w:val="006A5D82"/>
    <w:rsid w:val="006B0098"/>
    <w:rsid w:val="006B0627"/>
    <w:rsid w:val="006B4061"/>
    <w:rsid w:val="006B5C5C"/>
    <w:rsid w:val="006B6C9F"/>
    <w:rsid w:val="006B7A68"/>
    <w:rsid w:val="006C4E46"/>
    <w:rsid w:val="006C57F9"/>
    <w:rsid w:val="006C72D2"/>
    <w:rsid w:val="006D39F2"/>
    <w:rsid w:val="006D58C2"/>
    <w:rsid w:val="006D7AD8"/>
    <w:rsid w:val="006E1DF2"/>
    <w:rsid w:val="006E3F8D"/>
    <w:rsid w:val="006E648F"/>
    <w:rsid w:val="006E64BA"/>
    <w:rsid w:val="006F0CE1"/>
    <w:rsid w:val="006F3471"/>
    <w:rsid w:val="006F4FFF"/>
    <w:rsid w:val="006F5B82"/>
    <w:rsid w:val="006F6E38"/>
    <w:rsid w:val="006F7207"/>
    <w:rsid w:val="00705A28"/>
    <w:rsid w:val="00707AA8"/>
    <w:rsid w:val="007157D9"/>
    <w:rsid w:val="0071653A"/>
    <w:rsid w:val="00721A11"/>
    <w:rsid w:val="00721E6E"/>
    <w:rsid w:val="007226FD"/>
    <w:rsid w:val="007305F3"/>
    <w:rsid w:val="007343F4"/>
    <w:rsid w:val="007419A7"/>
    <w:rsid w:val="00741DD8"/>
    <w:rsid w:val="00744E82"/>
    <w:rsid w:val="00745F2F"/>
    <w:rsid w:val="00747162"/>
    <w:rsid w:val="00747FF6"/>
    <w:rsid w:val="007500CA"/>
    <w:rsid w:val="00751536"/>
    <w:rsid w:val="00756230"/>
    <w:rsid w:val="00756995"/>
    <w:rsid w:val="00757EAE"/>
    <w:rsid w:val="0076245B"/>
    <w:rsid w:val="007638A9"/>
    <w:rsid w:val="007649BF"/>
    <w:rsid w:val="00765C48"/>
    <w:rsid w:val="00770A64"/>
    <w:rsid w:val="00774600"/>
    <w:rsid w:val="00774944"/>
    <w:rsid w:val="00774FDD"/>
    <w:rsid w:val="007754CD"/>
    <w:rsid w:val="00780D36"/>
    <w:rsid w:val="007830BB"/>
    <w:rsid w:val="00783F93"/>
    <w:rsid w:val="00785423"/>
    <w:rsid w:val="0079178F"/>
    <w:rsid w:val="007962D0"/>
    <w:rsid w:val="007A1E40"/>
    <w:rsid w:val="007A74C0"/>
    <w:rsid w:val="007B210A"/>
    <w:rsid w:val="007B415F"/>
    <w:rsid w:val="007B7510"/>
    <w:rsid w:val="007B7549"/>
    <w:rsid w:val="007C668B"/>
    <w:rsid w:val="007C669E"/>
    <w:rsid w:val="007E011A"/>
    <w:rsid w:val="007E520F"/>
    <w:rsid w:val="007F1487"/>
    <w:rsid w:val="007F694C"/>
    <w:rsid w:val="007F72C3"/>
    <w:rsid w:val="008032D6"/>
    <w:rsid w:val="00806219"/>
    <w:rsid w:val="00806C39"/>
    <w:rsid w:val="00806D9C"/>
    <w:rsid w:val="008100C9"/>
    <w:rsid w:val="00810692"/>
    <w:rsid w:val="00812DF8"/>
    <w:rsid w:val="00813721"/>
    <w:rsid w:val="00815059"/>
    <w:rsid w:val="00815287"/>
    <w:rsid w:val="0082075E"/>
    <w:rsid w:val="0082280F"/>
    <w:rsid w:val="0082790F"/>
    <w:rsid w:val="00827F45"/>
    <w:rsid w:val="00832303"/>
    <w:rsid w:val="0083510B"/>
    <w:rsid w:val="008355DF"/>
    <w:rsid w:val="00836962"/>
    <w:rsid w:val="00836FD0"/>
    <w:rsid w:val="008413B7"/>
    <w:rsid w:val="00841B4B"/>
    <w:rsid w:val="0084372C"/>
    <w:rsid w:val="00844E5C"/>
    <w:rsid w:val="00845F0B"/>
    <w:rsid w:val="008476AF"/>
    <w:rsid w:val="0084776B"/>
    <w:rsid w:val="008504F4"/>
    <w:rsid w:val="0085260E"/>
    <w:rsid w:val="008537A5"/>
    <w:rsid w:val="00863F91"/>
    <w:rsid w:val="008657B0"/>
    <w:rsid w:val="00871AC6"/>
    <w:rsid w:val="00872312"/>
    <w:rsid w:val="008730AA"/>
    <w:rsid w:val="00876048"/>
    <w:rsid w:val="00876F4C"/>
    <w:rsid w:val="008773C2"/>
    <w:rsid w:val="00880FB4"/>
    <w:rsid w:val="00883943"/>
    <w:rsid w:val="00885463"/>
    <w:rsid w:val="00887D32"/>
    <w:rsid w:val="008905E2"/>
    <w:rsid w:val="00891645"/>
    <w:rsid w:val="008928F8"/>
    <w:rsid w:val="00892D87"/>
    <w:rsid w:val="008958FA"/>
    <w:rsid w:val="00897AD9"/>
    <w:rsid w:val="008A55D2"/>
    <w:rsid w:val="008A71BF"/>
    <w:rsid w:val="008A771E"/>
    <w:rsid w:val="008B1525"/>
    <w:rsid w:val="008B6AC7"/>
    <w:rsid w:val="008C4824"/>
    <w:rsid w:val="008D10C3"/>
    <w:rsid w:val="008D3577"/>
    <w:rsid w:val="008D3765"/>
    <w:rsid w:val="008D4AA5"/>
    <w:rsid w:val="008D78FF"/>
    <w:rsid w:val="008E24C3"/>
    <w:rsid w:val="008E74C0"/>
    <w:rsid w:val="008F0F77"/>
    <w:rsid w:val="008F1FE6"/>
    <w:rsid w:val="008F5FE7"/>
    <w:rsid w:val="008F6853"/>
    <w:rsid w:val="008F6C7E"/>
    <w:rsid w:val="008F7859"/>
    <w:rsid w:val="0090023A"/>
    <w:rsid w:val="00901536"/>
    <w:rsid w:val="00901C8E"/>
    <w:rsid w:val="00901D1E"/>
    <w:rsid w:val="009076A2"/>
    <w:rsid w:val="009117B6"/>
    <w:rsid w:val="00911E38"/>
    <w:rsid w:val="00915F18"/>
    <w:rsid w:val="00916290"/>
    <w:rsid w:val="0091698D"/>
    <w:rsid w:val="009174E1"/>
    <w:rsid w:val="00917A4C"/>
    <w:rsid w:val="0092057A"/>
    <w:rsid w:val="00923B09"/>
    <w:rsid w:val="00924263"/>
    <w:rsid w:val="00927EC3"/>
    <w:rsid w:val="00933DFE"/>
    <w:rsid w:val="009341B6"/>
    <w:rsid w:val="00934239"/>
    <w:rsid w:val="00935B94"/>
    <w:rsid w:val="00935D46"/>
    <w:rsid w:val="00936EE0"/>
    <w:rsid w:val="00941484"/>
    <w:rsid w:val="00943CA1"/>
    <w:rsid w:val="00944AE4"/>
    <w:rsid w:val="00944EA9"/>
    <w:rsid w:val="00950C34"/>
    <w:rsid w:val="00953EAC"/>
    <w:rsid w:val="0095423E"/>
    <w:rsid w:val="00955B8E"/>
    <w:rsid w:val="0096161C"/>
    <w:rsid w:val="009621D1"/>
    <w:rsid w:val="009621DB"/>
    <w:rsid w:val="00965045"/>
    <w:rsid w:val="00966420"/>
    <w:rsid w:val="00967DE8"/>
    <w:rsid w:val="00971262"/>
    <w:rsid w:val="009717AA"/>
    <w:rsid w:val="00973A7F"/>
    <w:rsid w:val="009742EF"/>
    <w:rsid w:val="00981155"/>
    <w:rsid w:val="009879E8"/>
    <w:rsid w:val="00987B5C"/>
    <w:rsid w:val="00991A24"/>
    <w:rsid w:val="00995903"/>
    <w:rsid w:val="00996727"/>
    <w:rsid w:val="009A1DCA"/>
    <w:rsid w:val="009A553A"/>
    <w:rsid w:val="009A57F5"/>
    <w:rsid w:val="009A5A75"/>
    <w:rsid w:val="009B0D9D"/>
    <w:rsid w:val="009C1773"/>
    <w:rsid w:val="009C2FA5"/>
    <w:rsid w:val="009C3748"/>
    <w:rsid w:val="009C3B86"/>
    <w:rsid w:val="009C40E3"/>
    <w:rsid w:val="009C56A0"/>
    <w:rsid w:val="009C676E"/>
    <w:rsid w:val="009D0371"/>
    <w:rsid w:val="009D12E1"/>
    <w:rsid w:val="009D34DA"/>
    <w:rsid w:val="009D55CD"/>
    <w:rsid w:val="009D6284"/>
    <w:rsid w:val="009E11F1"/>
    <w:rsid w:val="009E6D40"/>
    <w:rsid w:val="009F30B7"/>
    <w:rsid w:val="009F4BC7"/>
    <w:rsid w:val="009F5153"/>
    <w:rsid w:val="009F5A0F"/>
    <w:rsid w:val="00A00542"/>
    <w:rsid w:val="00A00991"/>
    <w:rsid w:val="00A027F7"/>
    <w:rsid w:val="00A04855"/>
    <w:rsid w:val="00A055B4"/>
    <w:rsid w:val="00A1097D"/>
    <w:rsid w:val="00A1479C"/>
    <w:rsid w:val="00A14F7E"/>
    <w:rsid w:val="00A225CC"/>
    <w:rsid w:val="00A230B6"/>
    <w:rsid w:val="00A25A8C"/>
    <w:rsid w:val="00A30EC1"/>
    <w:rsid w:val="00A321B7"/>
    <w:rsid w:val="00A370C2"/>
    <w:rsid w:val="00A437B3"/>
    <w:rsid w:val="00A44782"/>
    <w:rsid w:val="00A45AD8"/>
    <w:rsid w:val="00A521DF"/>
    <w:rsid w:val="00A5245A"/>
    <w:rsid w:val="00A558A1"/>
    <w:rsid w:val="00A57519"/>
    <w:rsid w:val="00A618B9"/>
    <w:rsid w:val="00A629C1"/>
    <w:rsid w:val="00A62CD2"/>
    <w:rsid w:val="00A63D04"/>
    <w:rsid w:val="00A645D0"/>
    <w:rsid w:val="00A64E45"/>
    <w:rsid w:val="00A70838"/>
    <w:rsid w:val="00A71877"/>
    <w:rsid w:val="00A71BBB"/>
    <w:rsid w:val="00A82DA7"/>
    <w:rsid w:val="00A85ED0"/>
    <w:rsid w:val="00A8794F"/>
    <w:rsid w:val="00A90F36"/>
    <w:rsid w:val="00A95A01"/>
    <w:rsid w:val="00AB1917"/>
    <w:rsid w:val="00AB5C5E"/>
    <w:rsid w:val="00AC6CFB"/>
    <w:rsid w:val="00AD1D09"/>
    <w:rsid w:val="00AD2F83"/>
    <w:rsid w:val="00AD6FBE"/>
    <w:rsid w:val="00AE09BB"/>
    <w:rsid w:val="00AE0D1E"/>
    <w:rsid w:val="00AE29E2"/>
    <w:rsid w:val="00AE3612"/>
    <w:rsid w:val="00AE42A9"/>
    <w:rsid w:val="00AE51C2"/>
    <w:rsid w:val="00AE6F2D"/>
    <w:rsid w:val="00AE7315"/>
    <w:rsid w:val="00AF216B"/>
    <w:rsid w:val="00AF3278"/>
    <w:rsid w:val="00AF728E"/>
    <w:rsid w:val="00B004E5"/>
    <w:rsid w:val="00B02AE8"/>
    <w:rsid w:val="00B03B21"/>
    <w:rsid w:val="00B0416F"/>
    <w:rsid w:val="00B05C70"/>
    <w:rsid w:val="00B06D88"/>
    <w:rsid w:val="00B06D96"/>
    <w:rsid w:val="00B0799D"/>
    <w:rsid w:val="00B07E35"/>
    <w:rsid w:val="00B1708D"/>
    <w:rsid w:val="00B2115D"/>
    <w:rsid w:val="00B21A8C"/>
    <w:rsid w:val="00B23C46"/>
    <w:rsid w:val="00B26048"/>
    <w:rsid w:val="00B26AE7"/>
    <w:rsid w:val="00B271A1"/>
    <w:rsid w:val="00B27584"/>
    <w:rsid w:val="00B30482"/>
    <w:rsid w:val="00B36C82"/>
    <w:rsid w:val="00B404F6"/>
    <w:rsid w:val="00B40DEE"/>
    <w:rsid w:val="00B47A77"/>
    <w:rsid w:val="00B507BC"/>
    <w:rsid w:val="00B5387C"/>
    <w:rsid w:val="00B55917"/>
    <w:rsid w:val="00B6700E"/>
    <w:rsid w:val="00B753C3"/>
    <w:rsid w:val="00B75D16"/>
    <w:rsid w:val="00B77330"/>
    <w:rsid w:val="00B80CE7"/>
    <w:rsid w:val="00B81A2B"/>
    <w:rsid w:val="00B82BEB"/>
    <w:rsid w:val="00B877E0"/>
    <w:rsid w:val="00B90D16"/>
    <w:rsid w:val="00B916A1"/>
    <w:rsid w:val="00B9352B"/>
    <w:rsid w:val="00B9605E"/>
    <w:rsid w:val="00B97DAB"/>
    <w:rsid w:val="00B97FB5"/>
    <w:rsid w:val="00BA7279"/>
    <w:rsid w:val="00BB1204"/>
    <w:rsid w:val="00BB5EE9"/>
    <w:rsid w:val="00BB756B"/>
    <w:rsid w:val="00BC1F99"/>
    <w:rsid w:val="00BC3326"/>
    <w:rsid w:val="00BC3FA0"/>
    <w:rsid w:val="00BC6BD0"/>
    <w:rsid w:val="00BC6C33"/>
    <w:rsid w:val="00BD2867"/>
    <w:rsid w:val="00BD4DF8"/>
    <w:rsid w:val="00BE0ECD"/>
    <w:rsid w:val="00BE1D27"/>
    <w:rsid w:val="00BE2426"/>
    <w:rsid w:val="00BE3F10"/>
    <w:rsid w:val="00BF0D72"/>
    <w:rsid w:val="00BF1095"/>
    <w:rsid w:val="00BF3798"/>
    <w:rsid w:val="00BF5227"/>
    <w:rsid w:val="00BF5454"/>
    <w:rsid w:val="00BF5FBC"/>
    <w:rsid w:val="00BF65ED"/>
    <w:rsid w:val="00C01823"/>
    <w:rsid w:val="00C01B11"/>
    <w:rsid w:val="00C02D8C"/>
    <w:rsid w:val="00C07BE5"/>
    <w:rsid w:val="00C10344"/>
    <w:rsid w:val="00C14840"/>
    <w:rsid w:val="00C21372"/>
    <w:rsid w:val="00C21716"/>
    <w:rsid w:val="00C23CAA"/>
    <w:rsid w:val="00C2526A"/>
    <w:rsid w:val="00C2784B"/>
    <w:rsid w:val="00C3245F"/>
    <w:rsid w:val="00C33281"/>
    <w:rsid w:val="00C3392B"/>
    <w:rsid w:val="00C34250"/>
    <w:rsid w:val="00C342D4"/>
    <w:rsid w:val="00C4350D"/>
    <w:rsid w:val="00C4486D"/>
    <w:rsid w:val="00C450E6"/>
    <w:rsid w:val="00C467C8"/>
    <w:rsid w:val="00C46CF2"/>
    <w:rsid w:val="00C46F23"/>
    <w:rsid w:val="00C50CA6"/>
    <w:rsid w:val="00C53629"/>
    <w:rsid w:val="00C5397C"/>
    <w:rsid w:val="00C5484D"/>
    <w:rsid w:val="00C56B38"/>
    <w:rsid w:val="00C60303"/>
    <w:rsid w:val="00C60B1D"/>
    <w:rsid w:val="00C60DAD"/>
    <w:rsid w:val="00C611AD"/>
    <w:rsid w:val="00C61327"/>
    <w:rsid w:val="00C619CC"/>
    <w:rsid w:val="00C62894"/>
    <w:rsid w:val="00C6365F"/>
    <w:rsid w:val="00C6749C"/>
    <w:rsid w:val="00C70BA7"/>
    <w:rsid w:val="00C73F10"/>
    <w:rsid w:val="00C74AC5"/>
    <w:rsid w:val="00C74E72"/>
    <w:rsid w:val="00C754ED"/>
    <w:rsid w:val="00C778C3"/>
    <w:rsid w:val="00C8258D"/>
    <w:rsid w:val="00C82CE4"/>
    <w:rsid w:val="00C83CE6"/>
    <w:rsid w:val="00C84CC3"/>
    <w:rsid w:val="00C86073"/>
    <w:rsid w:val="00C87F4E"/>
    <w:rsid w:val="00C942B3"/>
    <w:rsid w:val="00C97228"/>
    <w:rsid w:val="00CA0119"/>
    <w:rsid w:val="00CA1398"/>
    <w:rsid w:val="00CA3100"/>
    <w:rsid w:val="00CA3DAD"/>
    <w:rsid w:val="00CA4B67"/>
    <w:rsid w:val="00CA4E73"/>
    <w:rsid w:val="00CA6D15"/>
    <w:rsid w:val="00CB1C3D"/>
    <w:rsid w:val="00CB3BF9"/>
    <w:rsid w:val="00CB3F88"/>
    <w:rsid w:val="00CB71F0"/>
    <w:rsid w:val="00CC11B4"/>
    <w:rsid w:val="00CD062E"/>
    <w:rsid w:val="00CD3275"/>
    <w:rsid w:val="00CD6E64"/>
    <w:rsid w:val="00CE0329"/>
    <w:rsid w:val="00CE262C"/>
    <w:rsid w:val="00CE2A8E"/>
    <w:rsid w:val="00CE4963"/>
    <w:rsid w:val="00CE4F4E"/>
    <w:rsid w:val="00CE5EC3"/>
    <w:rsid w:val="00CE6553"/>
    <w:rsid w:val="00CE76F6"/>
    <w:rsid w:val="00CE7CBD"/>
    <w:rsid w:val="00CF1460"/>
    <w:rsid w:val="00CF1727"/>
    <w:rsid w:val="00CF1F0F"/>
    <w:rsid w:val="00CF353B"/>
    <w:rsid w:val="00CF3C1D"/>
    <w:rsid w:val="00CF6D99"/>
    <w:rsid w:val="00CF7D9D"/>
    <w:rsid w:val="00D01127"/>
    <w:rsid w:val="00D04598"/>
    <w:rsid w:val="00D06A18"/>
    <w:rsid w:val="00D113DB"/>
    <w:rsid w:val="00D12064"/>
    <w:rsid w:val="00D13CA6"/>
    <w:rsid w:val="00D13EF9"/>
    <w:rsid w:val="00D175A4"/>
    <w:rsid w:val="00D211D9"/>
    <w:rsid w:val="00D2575B"/>
    <w:rsid w:val="00D2647D"/>
    <w:rsid w:val="00D26EC6"/>
    <w:rsid w:val="00D26F5A"/>
    <w:rsid w:val="00D2790F"/>
    <w:rsid w:val="00D27D63"/>
    <w:rsid w:val="00D32CAF"/>
    <w:rsid w:val="00D32F83"/>
    <w:rsid w:val="00D33F51"/>
    <w:rsid w:val="00D36A8B"/>
    <w:rsid w:val="00D37233"/>
    <w:rsid w:val="00D47368"/>
    <w:rsid w:val="00D4744A"/>
    <w:rsid w:val="00D47DD1"/>
    <w:rsid w:val="00D574DE"/>
    <w:rsid w:val="00D578AB"/>
    <w:rsid w:val="00D63574"/>
    <w:rsid w:val="00D658F2"/>
    <w:rsid w:val="00D669D6"/>
    <w:rsid w:val="00D66FE4"/>
    <w:rsid w:val="00D6727A"/>
    <w:rsid w:val="00D67B07"/>
    <w:rsid w:val="00D67BCD"/>
    <w:rsid w:val="00D72692"/>
    <w:rsid w:val="00D849FB"/>
    <w:rsid w:val="00D873AF"/>
    <w:rsid w:val="00D87F7F"/>
    <w:rsid w:val="00D949BB"/>
    <w:rsid w:val="00D95392"/>
    <w:rsid w:val="00D964C6"/>
    <w:rsid w:val="00D96A76"/>
    <w:rsid w:val="00DA1C2C"/>
    <w:rsid w:val="00DA400E"/>
    <w:rsid w:val="00DA47ED"/>
    <w:rsid w:val="00DA4F6F"/>
    <w:rsid w:val="00DA68D6"/>
    <w:rsid w:val="00DA7E85"/>
    <w:rsid w:val="00DA7F6A"/>
    <w:rsid w:val="00DB3836"/>
    <w:rsid w:val="00DB4268"/>
    <w:rsid w:val="00DB5087"/>
    <w:rsid w:val="00DC020A"/>
    <w:rsid w:val="00DC408B"/>
    <w:rsid w:val="00DC5858"/>
    <w:rsid w:val="00DC5CA1"/>
    <w:rsid w:val="00DC6D98"/>
    <w:rsid w:val="00DC71C3"/>
    <w:rsid w:val="00DD1A54"/>
    <w:rsid w:val="00DD2424"/>
    <w:rsid w:val="00DD78D4"/>
    <w:rsid w:val="00DE43AD"/>
    <w:rsid w:val="00DE50FF"/>
    <w:rsid w:val="00DE69EE"/>
    <w:rsid w:val="00DF020E"/>
    <w:rsid w:val="00DF7396"/>
    <w:rsid w:val="00E00418"/>
    <w:rsid w:val="00E052E4"/>
    <w:rsid w:val="00E131D4"/>
    <w:rsid w:val="00E15F78"/>
    <w:rsid w:val="00E164D2"/>
    <w:rsid w:val="00E16D9A"/>
    <w:rsid w:val="00E2234B"/>
    <w:rsid w:val="00E2404F"/>
    <w:rsid w:val="00E264C9"/>
    <w:rsid w:val="00E26F75"/>
    <w:rsid w:val="00E377CD"/>
    <w:rsid w:val="00E4172C"/>
    <w:rsid w:val="00E44F75"/>
    <w:rsid w:val="00E45907"/>
    <w:rsid w:val="00E4732D"/>
    <w:rsid w:val="00E476BE"/>
    <w:rsid w:val="00E47748"/>
    <w:rsid w:val="00E4781D"/>
    <w:rsid w:val="00E52CEA"/>
    <w:rsid w:val="00E531CB"/>
    <w:rsid w:val="00E537E1"/>
    <w:rsid w:val="00E53A14"/>
    <w:rsid w:val="00E53BD8"/>
    <w:rsid w:val="00E6066D"/>
    <w:rsid w:val="00E62289"/>
    <w:rsid w:val="00E63486"/>
    <w:rsid w:val="00E635FB"/>
    <w:rsid w:val="00E67A12"/>
    <w:rsid w:val="00E707C2"/>
    <w:rsid w:val="00E738FA"/>
    <w:rsid w:val="00E752B7"/>
    <w:rsid w:val="00E7537C"/>
    <w:rsid w:val="00E75C7E"/>
    <w:rsid w:val="00E76F3E"/>
    <w:rsid w:val="00E80A59"/>
    <w:rsid w:val="00E818A3"/>
    <w:rsid w:val="00E84A34"/>
    <w:rsid w:val="00E9162A"/>
    <w:rsid w:val="00E92FB1"/>
    <w:rsid w:val="00E94C1B"/>
    <w:rsid w:val="00EA1E20"/>
    <w:rsid w:val="00EA3B9A"/>
    <w:rsid w:val="00EB09FE"/>
    <w:rsid w:val="00EB3EE6"/>
    <w:rsid w:val="00EB44DD"/>
    <w:rsid w:val="00EB4E42"/>
    <w:rsid w:val="00EB63C7"/>
    <w:rsid w:val="00EB6904"/>
    <w:rsid w:val="00EC070D"/>
    <w:rsid w:val="00EC4A49"/>
    <w:rsid w:val="00EC6995"/>
    <w:rsid w:val="00EE7DF9"/>
    <w:rsid w:val="00F01DA4"/>
    <w:rsid w:val="00F048EE"/>
    <w:rsid w:val="00F05AF0"/>
    <w:rsid w:val="00F07702"/>
    <w:rsid w:val="00F10360"/>
    <w:rsid w:val="00F11761"/>
    <w:rsid w:val="00F14038"/>
    <w:rsid w:val="00F1480B"/>
    <w:rsid w:val="00F15CFE"/>
    <w:rsid w:val="00F1607E"/>
    <w:rsid w:val="00F2509E"/>
    <w:rsid w:val="00F26980"/>
    <w:rsid w:val="00F31F1F"/>
    <w:rsid w:val="00F32D5D"/>
    <w:rsid w:val="00F3307D"/>
    <w:rsid w:val="00F33BC8"/>
    <w:rsid w:val="00F373BE"/>
    <w:rsid w:val="00F41CB1"/>
    <w:rsid w:val="00F42C76"/>
    <w:rsid w:val="00F4369A"/>
    <w:rsid w:val="00F44584"/>
    <w:rsid w:val="00F50DC4"/>
    <w:rsid w:val="00F510EA"/>
    <w:rsid w:val="00F51971"/>
    <w:rsid w:val="00F5313B"/>
    <w:rsid w:val="00F5368F"/>
    <w:rsid w:val="00F6341B"/>
    <w:rsid w:val="00F65625"/>
    <w:rsid w:val="00F6737B"/>
    <w:rsid w:val="00F70BDF"/>
    <w:rsid w:val="00F7191D"/>
    <w:rsid w:val="00F7317F"/>
    <w:rsid w:val="00F74CC1"/>
    <w:rsid w:val="00F752E0"/>
    <w:rsid w:val="00F758E7"/>
    <w:rsid w:val="00F7689F"/>
    <w:rsid w:val="00F76FC9"/>
    <w:rsid w:val="00F85544"/>
    <w:rsid w:val="00F8626E"/>
    <w:rsid w:val="00F910D1"/>
    <w:rsid w:val="00F94239"/>
    <w:rsid w:val="00F94CF0"/>
    <w:rsid w:val="00FA2787"/>
    <w:rsid w:val="00FB4F64"/>
    <w:rsid w:val="00FC15BF"/>
    <w:rsid w:val="00FC4417"/>
    <w:rsid w:val="00FC46E0"/>
    <w:rsid w:val="00FC5A3B"/>
    <w:rsid w:val="00FD02A4"/>
    <w:rsid w:val="00FD21FD"/>
    <w:rsid w:val="00FD346D"/>
    <w:rsid w:val="00FD36EA"/>
    <w:rsid w:val="00FD3A2F"/>
    <w:rsid w:val="00FD3FFE"/>
    <w:rsid w:val="00FD4824"/>
    <w:rsid w:val="00FE2E9E"/>
    <w:rsid w:val="00FE36C0"/>
    <w:rsid w:val="00FE38C4"/>
    <w:rsid w:val="00FE403F"/>
    <w:rsid w:val="00FE50A0"/>
    <w:rsid w:val="00FE5351"/>
    <w:rsid w:val="00FF117B"/>
    <w:rsid w:val="00FF3797"/>
    <w:rsid w:val="00FF3A10"/>
    <w:rsid w:val="00FF5921"/>
    <w:rsid w:val="00FF79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style="mso-position-vertical-relative:page;v-text-anchor:middle" fill="f" fillcolor="white" stroke="f">
      <v:fill color="white" on="f"/>
      <v:stroke on="f"/>
      <v:textbox inset="0,0,0,0"/>
    </o:shapedefaults>
    <o:shapelayout v:ext="edit">
      <o:idmap v:ext="edit" data="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C7"/>
  </w:style>
  <w:style w:type="paragraph" w:styleId="Heading1">
    <w:name w:val="heading 1"/>
    <w:basedOn w:val="Normal"/>
    <w:next w:val="Normal"/>
    <w:link w:val="Heading1Char"/>
    <w:uiPriority w:val="9"/>
    <w:qFormat/>
    <w:rsid w:val="00911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7D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DAB"/>
  </w:style>
  <w:style w:type="paragraph" w:styleId="Footer">
    <w:name w:val="footer"/>
    <w:basedOn w:val="Normal"/>
    <w:link w:val="FooterChar"/>
    <w:uiPriority w:val="99"/>
    <w:unhideWhenUsed/>
    <w:rsid w:val="00B9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DAB"/>
  </w:style>
  <w:style w:type="paragraph" w:styleId="BalloonText">
    <w:name w:val="Balloon Text"/>
    <w:basedOn w:val="Normal"/>
    <w:link w:val="BalloonTextChar"/>
    <w:uiPriority w:val="99"/>
    <w:semiHidden/>
    <w:unhideWhenUsed/>
    <w:rsid w:val="009C1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773"/>
    <w:rPr>
      <w:rFonts w:ascii="Tahoma" w:hAnsi="Tahoma" w:cs="Tahoma"/>
      <w:sz w:val="16"/>
      <w:szCs w:val="16"/>
    </w:rPr>
  </w:style>
  <w:style w:type="character" w:styleId="PlaceholderText">
    <w:name w:val="Placeholder Text"/>
    <w:basedOn w:val="DefaultParagraphFont"/>
    <w:uiPriority w:val="99"/>
    <w:semiHidden/>
    <w:rsid w:val="009C1773"/>
    <w:rPr>
      <w:color w:val="808080"/>
    </w:rPr>
  </w:style>
  <w:style w:type="paragraph" w:customStyle="1" w:styleId="Default">
    <w:name w:val="Default"/>
    <w:rsid w:val="00883943"/>
    <w:pPr>
      <w:widowControl w:val="0"/>
      <w:autoSpaceDE w:val="0"/>
      <w:autoSpaceDN w:val="0"/>
      <w:adjustRightInd w:val="0"/>
      <w:spacing w:after="0" w:line="240" w:lineRule="auto"/>
    </w:pPr>
    <w:rPr>
      <w:rFonts w:ascii="JMUSPO+Minion-Bold" w:eastAsiaTheme="minorEastAsia" w:hAnsi="JMUSPO+Minion-Bold" w:cs="JMUSPO+Minion-Bold"/>
      <w:color w:val="000000"/>
      <w:sz w:val="24"/>
      <w:szCs w:val="24"/>
    </w:rPr>
  </w:style>
  <w:style w:type="table" w:styleId="TableGrid">
    <w:name w:val="Table Grid"/>
    <w:basedOn w:val="TableNormal"/>
    <w:uiPriority w:val="59"/>
    <w:rsid w:val="00E45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117B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3D22"/>
    <w:pPr>
      <w:ind w:left="720"/>
      <w:contextualSpacing/>
    </w:pPr>
  </w:style>
  <w:style w:type="character" w:styleId="Hyperlink">
    <w:name w:val="Hyperlink"/>
    <w:basedOn w:val="DefaultParagraphFont"/>
    <w:rsid w:val="00285DC5"/>
    <w:rPr>
      <w:color w:val="0000FF"/>
      <w:u w:val="single"/>
    </w:rPr>
  </w:style>
  <w:style w:type="character" w:styleId="CommentReference">
    <w:name w:val="annotation reference"/>
    <w:basedOn w:val="DefaultParagraphFont"/>
    <w:uiPriority w:val="99"/>
    <w:semiHidden/>
    <w:unhideWhenUsed/>
    <w:rsid w:val="0069757C"/>
    <w:rPr>
      <w:sz w:val="16"/>
      <w:szCs w:val="16"/>
    </w:rPr>
  </w:style>
  <w:style w:type="paragraph" w:styleId="CommentText">
    <w:name w:val="annotation text"/>
    <w:basedOn w:val="Normal"/>
    <w:link w:val="CommentTextChar"/>
    <w:uiPriority w:val="99"/>
    <w:semiHidden/>
    <w:unhideWhenUsed/>
    <w:rsid w:val="0069757C"/>
    <w:pPr>
      <w:spacing w:line="240" w:lineRule="auto"/>
    </w:pPr>
    <w:rPr>
      <w:sz w:val="20"/>
      <w:szCs w:val="20"/>
    </w:rPr>
  </w:style>
  <w:style w:type="character" w:customStyle="1" w:styleId="CommentTextChar">
    <w:name w:val="Comment Text Char"/>
    <w:basedOn w:val="DefaultParagraphFont"/>
    <w:link w:val="CommentText"/>
    <w:uiPriority w:val="99"/>
    <w:semiHidden/>
    <w:rsid w:val="0069757C"/>
    <w:rPr>
      <w:sz w:val="20"/>
      <w:szCs w:val="20"/>
    </w:rPr>
  </w:style>
  <w:style w:type="paragraph" w:styleId="CommentSubject">
    <w:name w:val="annotation subject"/>
    <w:basedOn w:val="CommentText"/>
    <w:next w:val="CommentText"/>
    <w:link w:val="CommentSubjectChar"/>
    <w:uiPriority w:val="99"/>
    <w:semiHidden/>
    <w:unhideWhenUsed/>
    <w:rsid w:val="0069757C"/>
    <w:rPr>
      <w:b/>
      <w:bCs/>
    </w:rPr>
  </w:style>
  <w:style w:type="character" w:customStyle="1" w:styleId="CommentSubjectChar">
    <w:name w:val="Comment Subject Char"/>
    <w:basedOn w:val="CommentTextChar"/>
    <w:link w:val="CommentSubject"/>
    <w:uiPriority w:val="99"/>
    <w:semiHidden/>
    <w:rsid w:val="0069757C"/>
    <w:rPr>
      <w:b/>
      <w:bCs/>
    </w:rPr>
  </w:style>
  <w:style w:type="paragraph" w:styleId="Caption">
    <w:name w:val="caption"/>
    <w:basedOn w:val="Normal"/>
    <w:next w:val="Normal"/>
    <w:uiPriority w:val="35"/>
    <w:unhideWhenUsed/>
    <w:qFormat/>
    <w:rsid w:val="00B77330"/>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043A2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43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35D4-66A7-429A-84EC-3D1DA9A2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6297</Words>
  <Characters>35897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MMHT</dc:creator>
  <cp:lastModifiedBy>MMHT</cp:lastModifiedBy>
  <cp:revision>23</cp:revision>
  <dcterms:created xsi:type="dcterms:W3CDTF">2012-05-06T14:27:00Z</dcterms:created>
  <dcterms:modified xsi:type="dcterms:W3CDTF">2012-05-07T18:00:00Z</dcterms:modified>
</cp:coreProperties>
</file>